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13000000">
      <w:pPr>
        <w:pStyle w:val="Style_1"/>
        <w:ind/>
        <w:jc w:val="both"/>
        <w:outlineLvl w:val="0"/>
      </w:pPr>
    </w:p>
    <w:p w14:paraId="14000000">
      <w:pPr>
        <w:pStyle w:val="Style_2"/>
        <w:ind/>
        <w:jc w:val="center"/>
        <w:outlineLvl w:val="0"/>
      </w:pPr>
      <w:r>
        <w:rPr>
          <w:sz w:val="20"/>
        </w:rPr>
        <w:t>ПРАВИТЕЛЬСТВО САМАРСКОЙ ОБЛАСТИ</w:t>
      </w:r>
    </w:p>
    <w:p w14:paraId="15000000">
      <w:pPr>
        <w:pStyle w:val="Style_2"/>
        <w:ind/>
        <w:jc w:val="center"/>
      </w:pPr>
    </w:p>
    <w:p w14:paraId="16000000">
      <w:pPr>
        <w:pStyle w:val="Style_2"/>
        <w:ind/>
        <w:jc w:val="center"/>
      </w:pPr>
      <w:r>
        <w:rPr>
          <w:sz w:val="20"/>
        </w:rPr>
        <w:t>ПОСТАНОВЛЕНИЕ</w:t>
      </w:r>
    </w:p>
    <w:p w14:paraId="17000000">
      <w:pPr>
        <w:pStyle w:val="Style_2"/>
        <w:ind/>
        <w:jc w:val="center"/>
      </w:pPr>
      <w:r>
        <w:rPr>
          <w:sz w:val="20"/>
        </w:rPr>
        <w:t>от 29 августа 2022 г. N 710</w:t>
      </w:r>
    </w:p>
    <w:p w14:paraId="18000000">
      <w:pPr>
        <w:pStyle w:val="Style_2"/>
      </w:pPr>
    </w:p>
    <w:p w14:paraId="19000000">
      <w:pPr>
        <w:pStyle w:val="Style_2"/>
        <w:ind/>
        <w:jc w:val="center"/>
        <w:rPr>
          <w:color w:val="000000"/>
        </w:rPr>
      </w:pPr>
      <w:r>
        <w:rPr>
          <w:color w:val="000000"/>
          <w:sz w:val="20"/>
        </w:rPr>
        <w:t>О ПРОДЛЕНИИ СРОКА УПЛАТЫ АВАНСОВЫХ ПЛАТЕЖЕЙ ПО НАЛОГУ</w:t>
      </w:r>
    </w:p>
    <w:p w14:paraId="1A000000">
      <w:pPr>
        <w:pStyle w:val="Style_2"/>
        <w:ind/>
        <w:jc w:val="center"/>
        <w:rPr>
          <w:color w:val="000000"/>
        </w:rPr>
      </w:pPr>
      <w:r>
        <w:rPr>
          <w:color w:val="000000"/>
          <w:sz w:val="20"/>
        </w:rPr>
        <w:t>НА ИМУЩЕСТВО ОРГАНИЗАЦИЙ ДЛЯ ОТДЕЛЬНЫХ КАТЕГОРИЙ</w:t>
      </w:r>
    </w:p>
    <w:p w14:paraId="1B000000">
      <w:pPr>
        <w:pStyle w:val="Style_2"/>
        <w:ind/>
        <w:jc w:val="center"/>
        <w:rPr>
          <w:color w:val="000000"/>
        </w:rPr>
      </w:pPr>
      <w:r>
        <w:rPr>
          <w:color w:val="000000"/>
          <w:sz w:val="20"/>
        </w:rPr>
        <w:t>НАЛОГОПЛАТЕЛЬЩИКОВ В УСЛОВИЯХ ВНЕШНЕГО САНКЦИОННОГО ДАВЛЕНИЯ</w:t>
      </w:r>
    </w:p>
    <w:p w14:paraId="1C000000">
      <w:pPr>
        <w:pStyle w:val="Style_1"/>
        <w:ind/>
        <w:jc w:val="both"/>
        <w:rPr>
          <w:color w:val="000000"/>
        </w:rPr>
      </w:pPr>
    </w:p>
    <w:p w14:paraId="1D000000">
      <w:pPr>
        <w:pStyle w:val="Style_1"/>
        <w:ind w:firstLine="540"/>
        <w:jc w:val="both"/>
        <w:rPr>
          <w:color w:val="000000"/>
        </w:rPr>
      </w:pPr>
      <w:r>
        <w:rPr>
          <w:color w:val="000000"/>
          <w:sz w:val="20"/>
        </w:rPr>
        <w:t xml:space="preserve">В соответствии с </w:t>
      </w:r>
      <w:r>
        <w:rPr>
          <w:color w:val="000000"/>
          <w:sz w:val="20"/>
        </w:rPr>
        <w:fldChar w:fldCharType="begin"/>
      </w:r>
      <w:r>
        <w:rPr>
          <w:color w:val="000000"/>
          <w:sz w:val="20"/>
        </w:rPr>
        <w:instrText>HYPERLINK "consultantplus://offline/ref=C376ADDB70214EA3EA9735385E9EA12ED0AB92CFD4D5173F6817430543724EA30694F6D4962B8609C6C7226034864258F41C2A8ADAF801y1K" \o ""Налоговый кодекс Российской Федерации (часть первая)" от 31.07.1998 N 146-ФЗ (ред. от 28.06.2022) (с изм. и доп., вступ. в силу с 01.08.2022) {КонсультантПлюс}"</w:instrText>
      </w:r>
      <w:r>
        <w:rPr>
          <w:color w:val="000000"/>
          <w:sz w:val="20"/>
        </w:rPr>
        <w:fldChar w:fldCharType="separate"/>
      </w:r>
      <w:r>
        <w:rPr>
          <w:color w:val="000000"/>
          <w:sz w:val="20"/>
        </w:rPr>
        <w:t>пунктом 4 статьи 4</w:t>
      </w:r>
      <w:r>
        <w:rPr>
          <w:color w:val="000000"/>
          <w:sz w:val="20"/>
        </w:rPr>
        <w:fldChar w:fldCharType="end"/>
      </w:r>
      <w:r>
        <w:rPr>
          <w:color w:val="000000"/>
          <w:sz w:val="20"/>
        </w:rPr>
        <w:t xml:space="preserve"> Налогового кодекса Российской Федерации в целях снижения налоговой нагрузки на предприятия автокомпонентной отрасли и предприятия смежных отраслей, осуществляющих поставки продукции для автомобильной промышленности в условиях внешнего санкционного давления, Правительство Самарской области постановляет:</w:t>
      </w:r>
    </w:p>
    <w:p w14:paraId="1E000000">
      <w:pPr>
        <w:pStyle w:val="Style_1"/>
        <w:spacing w:before="200"/>
        <w:ind w:firstLine="540"/>
        <w:jc w:val="both"/>
        <w:rPr>
          <w:color w:val="000000"/>
        </w:rPr>
      </w:pPr>
      <w:r>
        <w:rPr>
          <w:color w:val="000000"/>
          <w:sz w:val="20"/>
        </w:rPr>
        <w:t xml:space="preserve">1. Продлить срок уплаты авансовых платежей по налогу на имущество организаций, осуществляющих виды экономической деятельности в соответствии с </w:t>
      </w:r>
      <w:r>
        <w:rPr>
          <w:color w:val="000000"/>
          <w:sz w:val="20"/>
        </w:rPr>
        <w:fldChar w:fldCharType="begin"/>
      </w:r>
      <w:r>
        <w:rPr>
          <w:color w:val="000000"/>
          <w:sz w:val="20"/>
        </w:rPr>
        <w:instrText>HYPERLINK \l "P30" \o "ПЕРЕЧЕНЬ"</w:instrText>
      </w:r>
      <w:r>
        <w:rPr>
          <w:color w:val="000000"/>
          <w:sz w:val="20"/>
        </w:rPr>
        <w:fldChar w:fldCharType="separate"/>
      </w:r>
      <w:r>
        <w:rPr>
          <w:color w:val="000000"/>
          <w:sz w:val="20"/>
        </w:rPr>
        <w:t>приложением</w:t>
      </w:r>
      <w:r>
        <w:rPr>
          <w:color w:val="000000"/>
          <w:sz w:val="20"/>
        </w:rPr>
        <w:fldChar w:fldCharType="end"/>
      </w:r>
      <w:r>
        <w:rPr>
          <w:color w:val="000000"/>
          <w:sz w:val="20"/>
        </w:rPr>
        <w:t xml:space="preserve"> к настоящему Постановлению, за девять месяцев 2022 года - до 15 декабря 2022 года (включительно).</w:t>
      </w:r>
    </w:p>
    <w:p w14:paraId="1F000000">
      <w:pPr>
        <w:pStyle w:val="Style_1"/>
        <w:spacing w:before="200"/>
        <w:ind w:firstLine="540"/>
        <w:jc w:val="both"/>
        <w:rPr>
          <w:color w:val="000000"/>
        </w:rPr>
      </w:pPr>
      <w:r>
        <w:rPr>
          <w:color w:val="000000"/>
          <w:sz w:val="20"/>
        </w:rPr>
        <w:t>В целях применения настоящего Постановления осуществление организациями соответствующих видов экономической деятельности определяется по коду основного вида деятельности, информация о котором содержится в Едином государственном реестре юридических лиц по состоянию на 1 марта 2022 года.</w:t>
      </w:r>
    </w:p>
    <w:p w14:paraId="20000000">
      <w:pPr>
        <w:pStyle w:val="Style_1"/>
        <w:spacing w:before="200"/>
        <w:ind w:firstLine="540"/>
        <w:jc w:val="both"/>
        <w:rPr>
          <w:color w:val="000000"/>
        </w:rPr>
      </w:pPr>
      <w:r>
        <w:rPr>
          <w:color w:val="000000"/>
          <w:sz w:val="20"/>
        </w:rPr>
        <w:t>2. Контроль за выполнением настоящего Постановления возложить на министерство управления финансами Самарской области.</w:t>
      </w:r>
    </w:p>
    <w:p w14:paraId="21000000">
      <w:pPr>
        <w:pStyle w:val="Style_1"/>
        <w:spacing w:before="200"/>
        <w:ind w:firstLine="540"/>
        <w:jc w:val="both"/>
        <w:rPr>
          <w:color w:val="000000"/>
        </w:rPr>
      </w:pPr>
      <w:r>
        <w:rPr>
          <w:color w:val="000000"/>
          <w:sz w:val="20"/>
        </w:rPr>
        <w:t>3. Опубликовать настоящее Постановление в средствах массовой информации.</w:t>
      </w:r>
    </w:p>
    <w:p w14:paraId="22000000">
      <w:pPr>
        <w:pStyle w:val="Style_1"/>
        <w:spacing w:before="200"/>
        <w:ind w:firstLine="540"/>
        <w:jc w:val="both"/>
        <w:rPr>
          <w:color w:val="000000"/>
        </w:rPr>
      </w:pPr>
      <w:r>
        <w:rPr>
          <w:color w:val="000000"/>
          <w:sz w:val="20"/>
        </w:rPr>
        <w:t>4. Настоящее Постановление вступает в силу со дня его официального опубликования.</w:t>
      </w:r>
    </w:p>
    <w:p w14:paraId="23000000">
      <w:pPr>
        <w:pStyle w:val="Style_1"/>
        <w:ind/>
        <w:jc w:val="both"/>
        <w:rPr>
          <w:color w:val="000000"/>
        </w:rPr>
      </w:pPr>
    </w:p>
    <w:p w14:paraId="24000000">
      <w:pPr>
        <w:pStyle w:val="Style_1"/>
        <w:ind/>
        <w:jc w:val="right"/>
        <w:rPr>
          <w:i w:val="1"/>
          <w:color w:val="000000"/>
        </w:rPr>
      </w:pPr>
      <w:r>
        <w:rPr>
          <w:i w:val="1"/>
          <w:color w:val="000000"/>
          <w:sz w:val="20"/>
        </w:rPr>
        <w:t>Первый вице-губернатор - председатель</w:t>
      </w:r>
    </w:p>
    <w:p w14:paraId="25000000">
      <w:pPr>
        <w:pStyle w:val="Style_1"/>
        <w:ind/>
        <w:jc w:val="right"/>
        <w:rPr>
          <w:i w:val="1"/>
          <w:color w:val="000000"/>
        </w:rPr>
      </w:pPr>
      <w:r>
        <w:rPr>
          <w:i w:val="1"/>
          <w:color w:val="000000"/>
          <w:sz w:val="20"/>
        </w:rPr>
        <w:t>Правительства Самарской области</w:t>
      </w:r>
    </w:p>
    <w:p w14:paraId="26000000">
      <w:pPr>
        <w:pStyle w:val="Style_1"/>
        <w:ind/>
        <w:jc w:val="right"/>
        <w:rPr>
          <w:i w:val="1"/>
          <w:color w:val="000000"/>
        </w:rPr>
      </w:pPr>
      <w:r>
        <w:rPr>
          <w:i w:val="1"/>
          <w:color w:val="000000"/>
          <w:sz w:val="20"/>
        </w:rPr>
        <w:t>В.В.Кудряшов</w:t>
      </w:r>
    </w:p>
    <w:p w14:paraId="27000000">
      <w:pPr>
        <w:pStyle w:val="Style_1"/>
        <w:ind/>
        <w:jc w:val="both"/>
        <w:rPr>
          <w:i w:val="1"/>
          <w:color w:val="000000"/>
        </w:rPr>
      </w:pPr>
    </w:p>
    <w:p w14:paraId="28000000">
      <w:pPr>
        <w:pStyle w:val="Style_1"/>
        <w:ind/>
        <w:jc w:val="both"/>
        <w:rPr>
          <w:i w:val="1"/>
          <w:color w:val="000000"/>
        </w:rPr>
      </w:pPr>
    </w:p>
    <w:p w14:paraId="29000000">
      <w:pPr>
        <w:pStyle w:val="Style_1"/>
        <w:ind/>
        <w:jc w:val="both"/>
        <w:rPr>
          <w:color w:val="000000"/>
        </w:rPr>
      </w:pPr>
    </w:p>
    <w:p w14:paraId="2A000000">
      <w:pPr>
        <w:pStyle w:val="Style_1"/>
        <w:ind/>
        <w:jc w:val="both"/>
        <w:rPr>
          <w:color w:val="000000"/>
        </w:rPr>
      </w:pPr>
    </w:p>
    <w:p w14:paraId="2B000000">
      <w:pPr>
        <w:pStyle w:val="Style_1"/>
        <w:ind/>
        <w:jc w:val="both"/>
        <w:rPr>
          <w:color w:val="000000"/>
        </w:rPr>
      </w:pPr>
    </w:p>
    <w:p w14:paraId="2C000000">
      <w:pPr>
        <w:pStyle w:val="Style_1"/>
        <w:ind/>
        <w:jc w:val="right"/>
        <w:outlineLvl w:val="0"/>
        <w:rPr>
          <w:color w:val="000000"/>
        </w:rPr>
      </w:pPr>
      <w:r>
        <w:rPr>
          <w:color w:val="000000"/>
          <w:sz w:val="20"/>
        </w:rPr>
        <w:t>Приложение</w:t>
      </w:r>
    </w:p>
    <w:p w14:paraId="2D000000">
      <w:pPr>
        <w:pStyle w:val="Style_1"/>
        <w:ind/>
        <w:jc w:val="right"/>
        <w:rPr>
          <w:color w:val="000000"/>
        </w:rPr>
      </w:pPr>
      <w:r>
        <w:rPr>
          <w:color w:val="000000"/>
          <w:sz w:val="20"/>
        </w:rPr>
        <w:t>к Постановлению</w:t>
      </w:r>
    </w:p>
    <w:p w14:paraId="2E000000">
      <w:pPr>
        <w:pStyle w:val="Style_1"/>
        <w:ind/>
        <w:jc w:val="right"/>
        <w:rPr>
          <w:color w:val="000000"/>
        </w:rPr>
      </w:pPr>
      <w:r>
        <w:rPr>
          <w:color w:val="000000"/>
          <w:sz w:val="20"/>
        </w:rPr>
        <w:t>Правительства Самарской области</w:t>
      </w:r>
    </w:p>
    <w:p w14:paraId="2F000000">
      <w:pPr>
        <w:pStyle w:val="Style_1"/>
        <w:ind/>
        <w:jc w:val="right"/>
        <w:rPr>
          <w:color w:val="000000"/>
        </w:rPr>
      </w:pPr>
      <w:r>
        <w:rPr>
          <w:color w:val="000000"/>
          <w:sz w:val="20"/>
        </w:rPr>
        <w:t>от 29 августа 2022 г. N 710</w:t>
      </w:r>
    </w:p>
    <w:p w14:paraId="30000000">
      <w:pPr>
        <w:pStyle w:val="Style_1"/>
        <w:ind/>
        <w:jc w:val="both"/>
        <w:rPr>
          <w:color w:val="000000"/>
        </w:rPr>
      </w:pPr>
      <w:bookmarkStart w:id="1" w:name="P30"/>
      <w:bookmarkEnd w:id="1"/>
    </w:p>
    <w:p w14:paraId="31000000">
      <w:pPr>
        <w:pStyle w:val="Style_2"/>
        <w:ind/>
        <w:jc w:val="center"/>
        <w:rPr>
          <w:color w:val="000000"/>
        </w:rPr>
      </w:pPr>
      <w:r>
        <w:rPr>
          <w:color w:val="000000"/>
          <w:sz w:val="20"/>
        </w:rPr>
        <w:t>ПЕРЕЧЕНЬ</w:t>
      </w:r>
    </w:p>
    <w:p w14:paraId="32000000">
      <w:pPr>
        <w:pStyle w:val="Style_2"/>
        <w:ind/>
        <w:jc w:val="center"/>
        <w:rPr>
          <w:color w:val="000000"/>
        </w:rPr>
      </w:pPr>
      <w:r>
        <w:rPr>
          <w:color w:val="000000"/>
          <w:sz w:val="20"/>
        </w:rPr>
        <w:t>ВИДОВ ЭКОНОМИЧЕСКОЙ ДЕЯТЕЛЬНОСТИ, ОСУЩЕСТВЛЕНИЕ КОТОРЫХ ДАЕТ</w:t>
      </w:r>
    </w:p>
    <w:p w14:paraId="33000000">
      <w:pPr>
        <w:pStyle w:val="Style_2"/>
        <w:ind/>
        <w:jc w:val="center"/>
        <w:rPr>
          <w:color w:val="000000"/>
        </w:rPr>
      </w:pPr>
      <w:r>
        <w:rPr>
          <w:color w:val="000000"/>
          <w:sz w:val="20"/>
        </w:rPr>
        <w:t>НАЛОГОПЛАТЕЛЬЩИКАМ ПРАВО ПРОДЛЕНИЯ СРОКА УПЛАТЫ АВАНСОВЫХ</w:t>
      </w:r>
    </w:p>
    <w:p w14:paraId="34000000">
      <w:pPr>
        <w:pStyle w:val="Style_2"/>
        <w:ind/>
        <w:jc w:val="center"/>
        <w:rPr>
          <w:color w:val="000000"/>
        </w:rPr>
      </w:pPr>
      <w:r>
        <w:rPr>
          <w:color w:val="000000"/>
          <w:sz w:val="20"/>
        </w:rPr>
        <w:t>ПЛАТЕЖЕЙ ПО НАЛОГУ НА ИМУЩЕСТВО ОРГАНИЗАЦИЙ</w:t>
      </w:r>
    </w:p>
    <w:p w14:paraId="35000000">
      <w:pPr>
        <w:pStyle w:val="Style_2"/>
        <w:ind/>
        <w:jc w:val="center"/>
        <w:rPr>
          <w:color w:val="000000"/>
        </w:rPr>
      </w:pPr>
      <w:r>
        <w:rPr>
          <w:color w:val="000000"/>
          <w:sz w:val="20"/>
        </w:rPr>
        <w:t>ЗА ДЕВЯТЬ МЕСЯЦЕВ 2022 ГОДА</w:t>
      </w:r>
    </w:p>
    <w:p w14:paraId="36000000">
      <w:pPr>
        <w:pStyle w:val="Style_1"/>
        <w:ind/>
        <w:jc w:val="both"/>
        <w:rPr>
          <w:color w:val="000000"/>
        </w:rPr>
      </w:pPr>
    </w:p>
    <w:tbl>
      <w:tblPr>
        <w:tblInd w:type="dxa" w:w="0"/>
        <w:tblBorders>
          <w:top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860"/>
        <w:gridCol w:w="1963"/>
      </w:tblGrid>
      <w:tr>
        <w:tc>
          <w:tcPr>
            <w:tcW w:type="dxa" w:w="6860"/>
            <w:tcBorders>
              <w:top w:sz="4" w:val="single"/>
              <w:bottom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>Наименование вида экономической деятельности</w:t>
            </w:r>
          </w:p>
        </w:tc>
        <w:tc>
          <w:tcPr>
            <w:tcW w:type="dxa" w:w="1963"/>
            <w:tcBorders>
              <w:top w:sz="4" w:val="single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pStyle w:val="Style_1"/>
              <w:rPr>
                <w:color w:val="000000"/>
              </w:rPr>
            </w:pPr>
            <w:r>
              <w:rPr>
                <w:color w:val="000000"/>
                <w:sz w:val="20"/>
              </w:rPr>
              <w:t>Код ОКВЭД 2</w:t>
            </w:r>
          </w:p>
        </w:tc>
      </w:tr>
      <w:tr>
        <w:tc>
          <w:tcPr>
            <w:tcW w:type="dxa" w:w="6860"/>
            <w:tcBorders>
              <w:top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нетканых текстильных материалов и изделий из них, кроме одежды</w:t>
            </w:r>
          </w:p>
        </w:tc>
        <w:tc>
          <w:tcPr>
            <w:tcW w:type="dxa" w:w="1963"/>
            <w:tcBorders>
              <w:top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"consultantplus://offline/ref=C376ADDB70214EA3EA9735385E9EA12ED0A890CCD3D2173F6817430543724EA30694F6D0922C8E07949D32647DD34946F20B3481C4F813E806y4K"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13.95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пластмасс и синтетических смол в первичных формах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"consultantplus://offline/ref=C376ADDB70214EA3EA9735385E9EA12ED0A890CCD3D2173F6817430543724EA30694F6D0922C8A02959D32647DD34946F20B3481C4F813E806y4K"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20.16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резиновых шин, покрышек и камер; восстановление резиновых шин и покрышек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"consultantplus://offline/ref=C376ADDB70214EA3EA9735385E9EA12ED0A890CCD3D2173F6817430543724EA30694F6D0922C8A0A959D32647DD34946F20B3481C4F813E806y4K"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22.11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прочих резиновых изделий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"consultantplus://offline/ref=C376ADDB70214EA3EA9735385E9EA12ED0A890CCD3D2173F6817430543724EA30694F6D0922C8A0A9B9D32647DD34946F20B3481C4F813E806y4K"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22.19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пластмассовых плит, полос, труб и профилей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"consultantplus://offline/ref=C376ADDB70214EA3EA9735385E9EA12ED0A890CCD3D2173F6817430543724EA30694F6D0922887059B9D32647DD34946F20B3481C4F813E806y4K"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22.21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прочих пластмассовых изделий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"consultantplus://offline/ref=C376ADDB70214EA3EA9735385E9EA12ED0A890CCD3D2173F6817430543724EA30694F6D0922B8F00929D32647DD34946F20B3481C4F813E806y4K"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22.29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стекла и изделий из стекла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"consultantplus://offline/ref=C376ADDB70214EA3EA9735385E9EA12ED0A890CCD3D2173F6817430543724EA30694F6D0922C8900969D32647DD34946F20B3481C4F813E806y4K"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23.1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листового стекла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"consultantplus://offline/ref=C376ADDB70214EA3EA9735385E9EA12ED0A890CCD3D2173F6817430543724EA30694F6D0922C8900949D32647DD34946F20B3481C4F813E806y4K"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23.11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Формирование и обработка листового стекла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"consultantplus://offline/ref=C376ADDB70214EA3EA9735385E9EA12ED0A890CCD3D2173F6817430543724EA30694F6D0922C8901949D32647DD34946F20B3481C4F813E806y4K"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23.12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прочей неметаллической минеральной продукции, не включенной в другие группировки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"consultantplus://offline/ref=C376ADDB70214EA3EA9735385E9EA12ED0A890CCD3D2173F6817430543724EA30694F6D0922C8805929D32647DD34946F20B3481C4F813E806y4K"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23.99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Литье легких металлов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"consultantplus://offline/ref=C376ADDB70214EA3EA9735385E9EA12ED0A890CCD3D2173F6817430543724EA30694F6D0922C870A919D32647DD34946F20B3481C4F813E806y4K"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24.53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Ковка, прессование, штамповка и профилирование, изготовление изделий методом порошковой металлургии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"consultantplus://offline/ref=C376ADDB70214EA3EA9735385E9EA12ED0A890CCD3D2173F6817430543724EA30694F6D0922C8600929D32647DD34946F20B3481C4F813E806y4K"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25.50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Обработка металлов и нанесение покрытий на металлы; механическая обработка металлов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"consultantplus://offline/ref=C376ADDB70214EA3EA9735385E9EA12ED0A890CCD3D2173F6817430543724EA30694F6D0922C8600949D32647DD34946F20B3481C4F813E806y4K"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25.6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Обработка металлов и нанесение покрытий на металлы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"consultantplus://offline/ref=C376ADDB70214EA3EA9735385E9EA12ED0A890CCD3D2173F6817430543724EA30694F6D0922C86009A9D32647DD34946F20B3481C4F813E806y4K"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25.61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Обработка металлических изделий механическая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"consultantplus://offline/ref=C376ADDB70214EA3EA9735385E9EA12ED0A890CCD3D2173F6817430543724EA30694F6D0922C8601929D32647DD34946F20B3481C4F813E806y4K"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25.62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инструмента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"consultantplus://offline/ref=C376ADDB70214EA3EA9735385E9EA12ED0A890CCD3D2173F6817430543724EA30694F6D0922C86019A9D32647DD34946F20B3481C4F813E806y4K"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25.73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изделий из проволоки, цепей и пружин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"consultantplus://offline/ref=C376ADDB70214EA3EA9735385E9EA12ED0A890CCD3D2173F6817430543724EA30694F6D0922C8606949D32647DD34946F20B3481C4F813E806y4K"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25.93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изделий из проволоки и пружин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"consultantplus://offline/ref=C376ADDB70214EA3EA9735385E9EA12ED0A890CCD3D2173F6817430543724EA30694F6D0922C86069A9D32647DD34946F20B3481C4F813E806y4K"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25.93.1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крепежных изделий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"consultantplus://offline/ref=C376ADDB70214EA3EA9735385E9EA12ED0A890CCD3D2173F6817430543724EA30694F6D0922C8607909D32647DD34946F20B3481C4F813E806y4K"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25.94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элементов электронной аппаратуры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"consultantplus://offline/ref=C376ADDB70214EA3EA9735385E9EA12ED0A890CCD3D2173F6817430543724EA30694F6D0922C860A919D32647DD34946F20B3481C4F813E806y4K"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26.11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инструментов и приборов для измерения, тестирования и навигации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"consultantplus://offline/ref=C376ADDB70214EA3EA9735385E9EA12ED0A890CCD3D2173F6817430543724EA30694F6D09228870B949D32647DD34946F20B3481C4F813E806y4K"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26.51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электрических аккумуляторов и аккумуляторных батарей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"consultantplus://offline/ref=C376ADDB70214EA3EA9735385E9EA12ED0A890CCD3D2173F6817430543724EA30694F6D0922F8E06949D32647DD34946F20B3481C4F813E806y4K"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27.20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прочих проводов и кабелей для электронного и электрического оборудования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"consultantplus://offline/ref=C376ADDB70214EA3EA9735385E9EA12ED0A890CCD3D2173F6817430543724EA30694F6D0922F8E04969D32647DD34946F20B3481C4F813E806y4K"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27.32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электрических ламп и осветительного оборудования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"consultantplus://offline/ref=C376ADDB70214EA3EA9735385E9EA12ED0A890CCD3D2173F6817430543724EA30694F6D0922F8E05949D32647DD34946F20B3481C4F813E806y4K"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27.40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прочего электрического оборудования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"consultantplus://offline/ref=C376ADDB70214EA3EA9735385E9EA12ED0A890CCD3D2173F6817430543724EA30694F6D092288602909D32647DD34946F20B3481C4F813E806y4K"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27.90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двигателей и турбин, кроме авиационных, автомобильных и мотоциклетных двигателей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"consultantplus://offline/ref=C376ADDB70214EA3EA9735385E9EA12ED0A890CCD3D2173F6817430543724EA30694F6D0922F8D02979D32647DD34946F20B3481C4F813E806y4K"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28.11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прочих насосов и компрессоров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"consultantplus://offline/ref=C376ADDB70214EA3EA9735385E9EA12ED0A890CCD3D2173F6817430543724EA30694F6D092288603939D32647DD34946F20B3481C4F813E806y4K"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28.13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подшипников, зубчатых передач, элементов механических передач и приводов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"consultantplus://offline/ref=C376ADDB70214EA3EA9735385E9EA12ED0A890CCD3D2173F6817430543724EA30694F6D0922F8D00959D32647DD34946F20B3481C4F813E806y4K"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28.15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теплообменных устройств, оборудования для кондиционирования воздуха промышленного холодильного и морозильного оборудования, производство оборудования для фильтрования и очистки газов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"consultantplus://offline/ref=C376ADDB70214EA3EA9735385E9EA12ED0A890CCD3D2173F6817430543724EA30694F6D0922F8D05979D32647DD34946F20B3481C4F813E806y4K"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28.25.1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прочих машин и оборудования специального назначения, не включенных в другие группировки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"consultantplus://offline/ref=C376ADDB70214EA3EA9735385E9EA12ED0A890CCD3D2173F6817430543724EA30694F6D092288603979D32647DD34946F20B3481C4F813E806y4K"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28.99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>
        <w:tc>
          <w:tcPr>
            <w:tcW w:type="dxa" w:w="686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pStyle w:val="Style_1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Производство автотранспортных средств, прицепов и полуприцепов</w:t>
            </w:r>
          </w:p>
        </w:tc>
        <w:tc>
          <w:tcPr>
            <w:tcW w:type="dxa" w:w="19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>HYPERLINK "consultantplus://offline/ref=C376ADDB70214EA3EA9735385E9EA12ED0A890CCD3D2173F6817430543724EA30694F6D0922F8B04979D32647DD34946F20B3481C4F813E806y4K" \o ""ОК 029-2014 (КДЕС Ред. 2). Общероссийский классификатор видов экономической деятельности" (утв. Приказом Росстандарта от 31.01.2014 N 14-ст) (ред. от 21.06.2022) {КонсультантПлюс}"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29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</w:tbl>
    <w:p w14:paraId="77000000">
      <w:pPr>
        <w:pStyle w:val="Style_1"/>
        <w:ind/>
        <w:jc w:val="both"/>
        <w:rPr>
          <w:color w:val="000000"/>
        </w:rPr>
      </w:pPr>
    </w:p>
    <w:p w14:paraId="78000000">
      <w:pPr>
        <w:pStyle w:val="Style_1"/>
        <w:ind/>
        <w:jc w:val="both"/>
      </w:pPr>
    </w:p>
    <w:p w14:paraId="79000000">
      <w:pPr>
        <w:pStyle w:val="Style_1"/>
        <w:spacing w:after="100" w:before="100"/>
        <w:ind/>
        <w:jc w:val="both"/>
        <w:rPr>
          <w:sz w:val="2"/>
        </w:rPr>
      </w:pPr>
    </w:p>
    <w:sectPr>
      <w:pgSz w:h="16838" w:w="11906"/>
      <w:pgMar w:bottom="841" w:footer="0" w:gutter="0" w:header="0" w:left="595" w:right="595" w:top="84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5000000">
    <w:pPr>
      <w:rPr>
        <w:sz w:val="2"/>
      </w:rPr>
    </w:pPr>
  </w:p>
  <w:tbl>
    <w:tblPr>
      <w:tblInd w:type="dxa" w:w="0"/>
      <w:tblLayout w:type="fixed"/>
      <w:tblCellMar>
        <w:left w:type="dxa" w:w="40"/>
        <w:right w:type="dxa" w:w="40"/>
      </w:tblCellMar>
    </w:tblPr>
    <w:tblGrid>
      <w:gridCol w:w="1"/>
      <w:gridCol w:w="1"/>
      <w:gridCol w:w="1"/>
    </w:tblGrid>
    <w:tr>
      <w:trPr>
        <w:trHeight w:hRule="exact" w:val="1663"/>
      </w:trPr>
      <w:tc>
        <w:tcPr>
          <w:tcW w:type="dxa" w:w="1"/>
          <w:tcMar>
            <w:left w:type="dxa" w:w="40"/>
            <w:right w:type="dxa" w:w="40"/>
          </w:tcMar>
          <w:vAlign w:val="center"/>
        </w:tcPr>
        <w:p w14:paraId="06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1"/>
          <w:tcMar>
            <w:left w:type="dxa" w:w="40"/>
            <w:right w:type="dxa" w:w="40"/>
          </w:tcMar>
          <w:vAlign w:val="center"/>
        </w:tcPr>
        <w:p w14:paraId="07000000">
          <w:pPr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1"/>
          <w:tcMar>
            <w:left w:type="dxa" w:w="40"/>
            <w:right w:type="dxa" w:w="40"/>
          </w:tcMar>
          <w:vAlign w:val="center"/>
        </w:tcPr>
        <w:p w14:paraId="08000000">
          <w:r>
            <w:rPr>
              <w:rFonts w:ascii="Tahoma" w:hAnsi="Tahoma"/>
            </w:rPr>
            <w:t xml:space="preserve">Страница </w:t>
          </w:r>
          <w:r>
            <w:fldChar w:dirty="1"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dirty="1" w:fldCharType="begin"/>
          </w:r>
          <w:r>
            <w:instrText xml:space="preserve">NUMPAGES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14:paraId="09000000">
    <w:r>
      <w:rPr>
        <w:sz w:val="2"/>
      </w:rPr>
      <w:t>1</w:t>
    </w:r>
  </w:p>
</w:ftr>
</file>

<file path=word/footer4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E000000">
    <w:pPr>
      <w:rPr>
        <w:sz w:val="2"/>
      </w:rPr>
    </w:pPr>
  </w:p>
  <w:tbl>
    <w:tblPr>
      <w:tblInd w:type="dxa" w:w="0"/>
      <w:tblLayout w:type="fixed"/>
      <w:tblCellMar>
        <w:left w:type="dxa" w:w="40"/>
        <w:right w:type="dxa" w:w="40"/>
      </w:tblCellMar>
    </w:tblPr>
    <w:tblGrid>
      <w:gridCol w:w="1"/>
      <w:gridCol w:w="1"/>
      <w:gridCol w:w="1"/>
    </w:tblGrid>
    <w:tr>
      <w:trPr>
        <w:trHeight w:hRule="exact" w:val="1663"/>
      </w:trPr>
      <w:tc>
        <w:tcPr>
          <w:tcW w:type="dxa" w:w="1"/>
          <w:tcMar>
            <w:left w:type="dxa" w:w="40"/>
            <w:right w:type="dxa" w:w="40"/>
          </w:tcMar>
          <w:vAlign w:val="center"/>
        </w:tcPr>
        <w:p w14:paraId="0F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1"/>
          <w:tcMar>
            <w:left w:type="dxa" w:w="40"/>
            <w:right w:type="dxa" w:w="40"/>
          </w:tcMar>
          <w:vAlign w:val="center"/>
        </w:tcPr>
        <w:p w14:paraId="10000000">
          <w:pPr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1"/>
          <w:tcMar>
            <w:left w:type="dxa" w:w="40"/>
            <w:right w:type="dxa" w:w="40"/>
          </w:tcMar>
          <w:vAlign w:val="center"/>
        </w:tcPr>
        <w:p w14:paraId="11000000">
          <w:r>
            <w:rPr>
              <w:rFonts w:ascii="Tahoma" w:hAnsi="Tahoma"/>
            </w:rPr>
            <w:t xml:space="preserve">Страница </w:t>
          </w:r>
          <w:r>
            <w:fldChar w:dirty="1"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dirty="1" w:fldCharType="begin"/>
          </w:r>
          <w:r>
            <w:instrText xml:space="preserve">NUMPAGES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14:paraId="12000000">
    <w:r>
      <w:rPr>
        <w:sz w:val="2"/>
      </w:rPr>
      <w:t>1</w:t>
    </w: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tbl>
    <w:tblPr>
      <w:tblInd w:type="dxa" w:w="0"/>
      <w:tblLayout w:type="fixed"/>
      <w:tblCellMar>
        <w:left w:type="dxa" w:w="40"/>
        <w:right w:type="dxa" w:w="40"/>
      </w:tblCellMar>
    </w:tblPr>
    <w:tblGrid>
      <w:gridCol w:w="1"/>
      <w:gridCol w:w="1"/>
    </w:tblGrid>
    <w:tr>
      <w:trPr>
        <w:trHeight w:hRule="exact" w:val="1683"/>
      </w:trPr>
      <w:tc>
        <w:tcPr>
          <w:tcW w:type="dxa" w:w="1"/>
          <w:tcMar>
            <w:left w:type="dxa" w:w="40"/>
            <w:right w:type="dxa" w:w="40"/>
          </w:tcMar>
          <w:vAlign w:val="center"/>
        </w:tcPr>
        <w:p w14:paraId="01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Постановление Правительства Самарской области от 29.08.2022 N 710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 продлении срока уплаты авансовых платежей по налогу...</w:t>
          </w:r>
        </w:p>
      </w:tc>
      <w:tc>
        <w:tcPr>
          <w:tcW w:type="dxa" w:w="1"/>
          <w:tcMar>
            <w:left w:type="dxa" w:w="40"/>
            <w:right w:type="dxa" w:w="40"/>
          </w:tcMar>
          <w:vAlign w:val="center"/>
        </w:tcPr>
        <w:p w14:paraId="02000000">
          <w:pPr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06.09.2022</w:t>
          </w:r>
        </w:p>
      </w:tc>
    </w:tr>
  </w:tbl>
  <w:p w14:paraId="03000000">
    <w:pPr>
      <w:rPr>
        <w:sz w:val="2"/>
      </w:rPr>
    </w:pPr>
  </w:p>
  <w:p w14:paraId="04000000"/>
</w:hdr>
</file>

<file path=word/header3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tbl>
    <w:tblPr>
      <w:tblInd w:type="dxa" w:w="0"/>
      <w:tblLayout w:type="fixed"/>
      <w:tblCellMar>
        <w:left w:type="dxa" w:w="40"/>
        <w:right w:type="dxa" w:w="40"/>
      </w:tblCellMar>
    </w:tblPr>
    <w:tblGrid>
      <w:gridCol w:w="1"/>
      <w:gridCol w:w="1"/>
    </w:tblGrid>
    <w:tr>
      <w:trPr>
        <w:trHeight w:hRule="exact" w:val="1683"/>
      </w:trPr>
      <w:tc>
        <w:tcPr>
          <w:tcW w:type="dxa" w:w="1"/>
          <w:tcMar>
            <w:left w:type="dxa" w:w="40"/>
            <w:right w:type="dxa" w:w="40"/>
          </w:tcMar>
          <w:vAlign w:val="center"/>
        </w:tcPr>
        <w:p w14:paraId="0A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Постановление Правительства Самарской области от 29.08.2022 N 710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 продлении срока уплаты авансовых платежей по налогу...</w:t>
          </w:r>
        </w:p>
      </w:tc>
      <w:tc>
        <w:tcPr>
          <w:tcW w:type="dxa" w:w="1"/>
          <w:tcMar>
            <w:left w:type="dxa" w:w="40"/>
            <w:right w:type="dxa" w:w="40"/>
          </w:tcMar>
          <w:vAlign w:val="center"/>
        </w:tcPr>
        <w:p w14:paraId="0B000000">
          <w:pPr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06.09.2022</w:t>
          </w:r>
        </w:p>
      </w:tc>
    </w:tr>
  </w:tbl>
  <w:p w14:paraId="0C000000">
    <w:pPr>
      <w:rPr>
        <w:sz w:val="2"/>
      </w:rPr>
    </w:pPr>
  </w:p>
  <w:p w14:paraId="0D000000"/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Arial" w:hAnsi="Arial"/>
      <w:sz w:val="20"/>
    </w:rPr>
  </w:style>
  <w:style w:default="1" w:styleId="Style_1_ch" w:type="character">
    <w:name w:val="ConsPlusNormal"/>
    <w:link w:val="Style_1"/>
    <w:rPr>
      <w:rFonts w:ascii="Arial" w:hAnsi="Arial"/>
      <w:sz w:val="20"/>
    </w:rPr>
  </w:style>
  <w:style w:styleId="Style_3" w:type="paragraph">
    <w:name w:val="ConsPlusDocList"/>
    <w:link w:val="Style_3_ch"/>
    <w:pPr>
      <w:widowControl w:val="0"/>
      <w:ind/>
    </w:pPr>
    <w:rPr>
      <w:rFonts w:ascii="Courier New" w:hAnsi="Courier New"/>
      <w:sz w:val="20"/>
    </w:rPr>
  </w:style>
  <w:style w:styleId="Style_3_ch" w:type="character">
    <w:name w:val="ConsPlusDocList"/>
    <w:link w:val="Style_3"/>
    <w:rPr>
      <w:rFonts w:ascii="Courier New" w:hAnsi="Courier New"/>
      <w:sz w:val="20"/>
    </w:rPr>
  </w:style>
  <w:style w:styleId="Style_4" w:type="paragraph">
    <w:name w:val="toc 2"/>
    <w:next w:val="Style_5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6" w:type="paragraph">
    <w:name w:val="toc 4"/>
    <w:next w:val="Style_5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5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5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ConsPlusTitle"/>
    <w:link w:val="Style_9_ch"/>
    <w:pPr>
      <w:widowControl w:val="0"/>
      <w:ind/>
    </w:pPr>
    <w:rPr>
      <w:rFonts w:ascii="Arial" w:hAnsi="Arial"/>
      <w:b w:val="1"/>
      <w:sz w:val="20"/>
    </w:rPr>
  </w:style>
  <w:style w:styleId="Style_9_ch" w:type="character">
    <w:name w:val="ConsPlusTitle"/>
    <w:link w:val="Style_9"/>
    <w:rPr>
      <w:rFonts w:ascii="Arial" w:hAnsi="Arial"/>
      <w:b w:val="1"/>
      <w:sz w:val="20"/>
    </w:rPr>
  </w:style>
  <w:style w:styleId="Style_5" w:type="paragraph">
    <w:name w:val="Normal"/>
    <w:link w:val="Style_5_ch"/>
    <w:uiPriority w:val="0"/>
    <w:qFormat/>
  </w:style>
  <w:style w:styleId="Style_5_ch" w:type="character">
    <w:name w:val="Normal"/>
    <w:link w:val="Style_5"/>
  </w:style>
  <w:style w:styleId="Style_10" w:type="paragraph">
    <w:name w:val="heading 3"/>
    <w:next w:val="Style_5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ConsPlusTextList"/>
    <w:link w:val="Style_11_ch"/>
    <w:pPr>
      <w:widowControl w:val="0"/>
      <w:ind/>
    </w:pPr>
    <w:rPr>
      <w:rFonts w:ascii="Arial" w:hAnsi="Arial"/>
      <w:sz w:val="20"/>
    </w:rPr>
  </w:style>
  <w:style w:styleId="Style_11_ch" w:type="character">
    <w:name w:val="ConsPlusTextList"/>
    <w:link w:val="Style_11"/>
    <w:rPr>
      <w:rFonts w:ascii="Arial" w:hAnsi="Arial"/>
      <w:sz w:val="20"/>
    </w:rPr>
  </w:style>
  <w:style w:styleId="Style_12" w:type="paragraph">
    <w:name w:val="ConsPlusTitlePage"/>
    <w:link w:val="Style_12_ch"/>
    <w:pPr>
      <w:widowControl w:val="0"/>
      <w:ind/>
    </w:pPr>
    <w:rPr>
      <w:rFonts w:ascii="Tahoma" w:hAnsi="Tahoma"/>
      <w:sz w:val="20"/>
    </w:rPr>
  </w:style>
  <w:style w:styleId="Style_12_ch" w:type="character">
    <w:name w:val="ConsPlusTitlePage"/>
    <w:link w:val="Style_12"/>
    <w:rPr>
      <w:rFonts w:ascii="Tahoma" w:hAnsi="Tahoma"/>
      <w:sz w:val="20"/>
    </w:rPr>
  </w:style>
  <w:style w:styleId="Style_2" w:type="paragraph">
    <w:name w:val="ConsPlusTitle"/>
    <w:link w:val="Style_2_ch"/>
    <w:pPr>
      <w:widowControl w:val="0"/>
      <w:ind/>
    </w:pPr>
    <w:rPr>
      <w:rFonts w:ascii="Arial" w:hAnsi="Arial"/>
      <w:b w:val="1"/>
      <w:sz w:val="20"/>
    </w:rPr>
  </w:style>
  <w:style w:styleId="Style_2_ch" w:type="character">
    <w:name w:val="ConsPlusTitle"/>
    <w:link w:val="Style_2"/>
    <w:rPr>
      <w:rFonts w:ascii="Arial" w:hAnsi="Arial"/>
      <w:b w:val="1"/>
      <w:sz w:val="20"/>
    </w:rPr>
  </w:style>
  <w:style w:styleId="Style_13" w:type="paragraph">
    <w:name w:val="ConsPlusTextList"/>
    <w:link w:val="Style_13_ch"/>
    <w:pPr>
      <w:widowControl w:val="0"/>
      <w:ind/>
    </w:pPr>
    <w:rPr>
      <w:rFonts w:ascii="Arial" w:hAnsi="Arial"/>
      <w:sz w:val="20"/>
    </w:rPr>
  </w:style>
  <w:style w:styleId="Style_13_ch" w:type="character">
    <w:name w:val="ConsPlusTextList"/>
    <w:link w:val="Style_13"/>
    <w:rPr>
      <w:rFonts w:ascii="Arial" w:hAnsi="Arial"/>
      <w:sz w:val="20"/>
    </w:rPr>
  </w:style>
  <w:style w:styleId="Style_14" w:type="paragraph">
    <w:name w:val="ConsPlusJurTerm"/>
    <w:link w:val="Style_14_ch"/>
    <w:pPr>
      <w:widowControl w:val="0"/>
      <w:ind/>
    </w:pPr>
    <w:rPr>
      <w:rFonts w:ascii="Tahoma" w:hAnsi="Tahoma"/>
      <w:sz w:val="26"/>
    </w:rPr>
  </w:style>
  <w:style w:styleId="Style_14_ch" w:type="character">
    <w:name w:val="ConsPlusJurTerm"/>
    <w:link w:val="Style_14"/>
    <w:rPr>
      <w:rFonts w:ascii="Tahoma" w:hAnsi="Tahoma"/>
      <w:sz w:val="26"/>
    </w:rPr>
  </w:style>
  <w:style w:styleId="Style_15" w:type="paragraph">
    <w:name w:val="ConsPlusTextList"/>
    <w:link w:val="Style_15_ch"/>
    <w:pPr>
      <w:widowControl w:val="0"/>
      <w:ind/>
    </w:pPr>
    <w:rPr>
      <w:rFonts w:ascii="Arial" w:hAnsi="Arial"/>
      <w:sz w:val="20"/>
    </w:rPr>
  </w:style>
  <w:style w:styleId="Style_15_ch" w:type="character">
    <w:name w:val="ConsPlusTextList"/>
    <w:link w:val="Style_15"/>
    <w:rPr>
      <w:rFonts w:ascii="Arial" w:hAnsi="Arial"/>
      <w:sz w:val="20"/>
    </w:rPr>
  </w:style>
  <w:style w:styleId="Style_16" w:type="paragraph">
    <w:name w:val="ConsPlusDocList"/>
    <w:link w:val="Style_16_ch"/>
    <w:pPr>
      <w:widowControl w:val="0"/>
      <w:ind/>
    </w:pPr>
    <w:rPr>
      <w:rFonts w:ascii="Courier New" w:hAnsi="Courier New"/>
      <w:sz w:val="20"/>
    </w:rPr>
  </w:style>
  <w:style w:styleId="Style_16_ch" w:type="character">
    <w:name w:val="ConsPlusDocList"/>
    <w:link w:val="Style_16"/>
    <w:rPr>
      <w:rFonts w:ascii="Courier New" w:hAnsi="Courier New"/>
      <w:sz w:val="20"/>
    </w:rPr>
  </w:style>
  <w:style w:styleId="Style_17" w:type="paragraph">
    <w:name w:val="ConsPlusNonformat"/>
    <w:link w:val="Style_17_ch"/>
    <w:pPr>
      <w:widowControl w:val="0"/>
      <w:ind/>
    </w:pPr>
    <w:rPr>
      <w:rFonts w:ascii="Courier New" w:hAnsi="Courier New"/>
      <w:sz w:val="20"/>
    </w:rPr>
  </w:style>
  <w:style w:styleId="Style_17_ch" w:type="character">
    <w:name w:val="ConsPlusNonformat"/>
    <w:link w:val="Style_17"/>
    <w:rPr>
      <w:rFonts w:ascii="Courier New" w:hAnsi="Courier New"/>
      <w:sz w:val="20"/>
    </w:rPr>
  </w:style>
  <w:style w:styleId="Style_18" w:type="paragraph">
    <w:name w:val="toc 3"/>
    <w:next w:val="Style_5"/>
    <w:link w:val="Style_18_ch"/>
    <w:uiPriority w:val="39"/>
    <w:pPr>
      <w:ind w:firstLine="0" w:left="400"/>
    </w:pPr>
  </w:style>
  <w:style w:styleId="Style_18_ch" w:type="character">
    <w:name w:val="toc 3"/>
    <w:link w:val="Style_18"/>
  </w:style>
  <w:style w:styleId="Style_19" w:type="paragraph">
    <w:name w:val="ConsPlusCell"/>
    <w:link w:val="Style_19_ch"/>
    <w:pPr>
      <w:widowControl w:val="0"/>
      <w:ind/>
    </w:pPr>
    <w:rPr>
      <w:rFonts w:ascii="Courier New" w:hAnsi="Courier New"/>
      <w:sz w:val="20"/>
    </w:rPr>
  </w:style>
  <w:style w:styleId="Style_19_ch" w:type="character">
    <w:name w:val="ConsPlusCell"/>
    <w:link w:val="Style_19"/>
    <w:rPr>
      <w:rFonts w:ascii="Courier New" w:hAnsi="Courier New"/>
      <w:sz w:val="20"/>
    </w:rPr>
  </w:style>
  <w:style w:styleId="Style_20" w:type="paragraph">
    <w:name w:val="ConsPlusTitlePage"/>
    <w:link w:val="Style_20_ch"/>
    <w:pPr>
      <w:widowControl w:val="0"/>
      <w:ind/>
    </w:pPr>
    <w:rPr>
      <w:rFonts w:ascii="Tahoma" w:hAnsi="Tahoma"/>
      <w:sz w:val="20"/>
    </w:rPr>
  </w:style>
  <w:style w:styleId="Style_20_ch" w:type="character">
    <w:name w:val="ConsPlusTitlePage"/>
    <w:link w:val="Style_20"/>
    <w:rPr>
      <w:rFonts w:ascii="Tahoma" w:hAnsi="Tahoma"/>
      <w:sz w:val="20"/>
    </w:rPr>
  </w:style>
  <w:style w:styleId="Style_21" w:type="paragraph">
    <w:name w:val="heading 5"/>
    <w:next w:val="Style_5"/>
    <w:link w:val="Style_2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1_ch" w:type="character">
    <w:name w:val="heading 5"/>
    <w:link w:val="Style_21"/>
    <w:rPr>
      <w:rFonts w:ascii="XO Thames" w:hAnsi="XO Thames"/>
      <w:b w:val="1"/>
      <w:color w:val="000000"/>
      <w:sz w:val="22"/>
    </w:rPr>
  </w:style>
  <w:style w:styleId="Style_22" w:type="paragraph">
    <w:name w:val="heading 1"/>
    <w:next w:val="Style_5"/>
    <w:link w:val="Style_2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ConsPlusTextList"/>
    <w:link w:val="Style_23_ch"/>
    <w:pPr>
      <w:widowControl w:val="0"/>
      <w:ind/>
    </w:pPr>
    <w:rPr>
      <w:rFonts w:ascii="Arial" w:hAnsi="Arial"/>
      <w:sz w:val="20"/>
    </w:rPr>
  </w:style>
  <w:style w:styleId="Style_23_ch" w:type="character">
    <w:name w:val="ConsPlusTextList"/>
    <w:link w:val="Style_23"/>
    <w:rPr>
      <w:rFonts w:ascii="Arial" w:hAnsi="Arial"/>
      <w:sz w:val="20"/>
    </w:rPr>
  </w:style>
  <w:style w:styleId="Style_24" w:type="paragraph">
    <w:name w:val="ConsPlusCell"/>
    <w:link w:val="Style_24_ch"/>
    <w:pPr>
      <w:widowControl w:val="0"/>
      <w:ind/>
    </w:pPr>
    <w:rPr>
      <w:rFonts w:ascii="Courier New" w:hAnsi="Courier New"/>
      <w:sz w:val="20"/>
    </w:rPr>
  </w:style>
  <w:style w:styleId="Style_24_ch" w:type="character">
    <w:name w:val="ConsPlusCell"/>
    <w:link w:val="Style_24"/>
    <w:rPr>
      <w:rFonts w:ascii="Courier New" w:hAnsi="Courier New"/>
      <w:sz w:val="20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/>
      <w:jc w:val="left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5"/>
    <w:link w:val="Style_27_ch"/>
    <w:uiPriority w:val="39"/>
    <w:pPr>
      <w:ind w:firstLine="0" w:left="0"/>
    </w:pPr>
    <w:rPr>
      <w:rFonts w:ascii="XO Thames" w:hAnsi="XO Thames"/>
      <w:b w:val="1"/>
    </w:rPr>
  </w:style>
  <w:style w:styleId="Style_27_ch" w:type="character">
    <w:name w:val="toc 1"/>
    <w:link w:val="Style_27"/>
    <w:rPr>
      <w:rFonts w:ascii="XO Thames" w:hAnsi="XO Thames"/>
      <w:b w:val="1"/>
    </w:rPr>
  </w:style>
  <w:style w:styleId="Style_28" w:type="paragraph">
    <w:name w:val="Header and Footer"/>
    <w:link w:val="Style_28_ch"/>
    <w:pPr>
      <w:spacing w:line="360" w:lineRule="auto"/>
      <w:ind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toc 9"/>
    <w:next w:val="Style_5"/>
    <w:link w:val="Style_29_ch"/>
    <w:uiPriority w:val="39"/>
    <w:pPr>
      <w:ind w:firstLine="0" w:left="1600"/>
    </w:pPr>
  </w:style>
  <w:style w:styleId="Style_29_ch" w:type="character">
    <w:name w:val="toc 9"/>
    <w:link w:val="Style_29"/>
  </w:style>
  <w:style w:styleId="Style_30" w:type="paragraph">
    <w:name w:val="toc 8"/>
    <w:next w:val="Style_5"/>
    <w:link w:val="Style_30_ch"/>
    <w:uiPriority w:val="39"/>
    <w:pPr>
      <w:ind w:firstLine="0" w:left="1400"/>
    </w:pPr>
  </w:style>
  <w:style w:styleId="Style_30_ch" w:type="character">
    <w:name w:val="toc 8"/>
    <w:link w:val="Style_30"/>
  </w:style>
  <w:style w:styleId="Style_31" w:type="paragraph">
    <w:name w:val="toc 5"/>
    <w:next w:val="Style_5"/>
    <w:link w:val="Style_31_ch"/>
    <w:uiPriority w:val="39"/>
    <w:pPr>
      <w:ind w:firstLine="0" w:left="800"/>
    </w:pPr>
  </w:style>
  <w:style w:styleId="Style_31_ch" w:type="character">
    <w:name w:val="toc 5"/>
    <w:link w:val="Style_31"/>
  </w:style>
  <w:style w:styleId="Style_32" w:type="paragraph">
    <w:name w:val="ConsPlusNonformat"/>
    <w:link w:val="Style_32_ch"/>
    <w:pPr>
      <w:widowControl w:val="0"/>
      <w:ind/>
    </w:pPr>
    <w:rPr>
      <w:rFonts w:ascii="Courier New" w:hAnsi="Courier New"/>
      <w:sz w:val="20"/>
    </w:rPr>
  </w:style>
  <w:style w:styleId="Style_32_ch" w:type="character">
    <w:name w:val="ConsPlusNonformat"/>
    <w:link w:val="Style_32"/>
    <w:rPr>
      <w:rFonts w:ascii="Courier New" w:hAnsi="Courier New"/>
      <w:sz w:val="20"/>
    </w:rPr>
  </w:style>
  <w:style w:styleId="Style_33" w:type="paragraph">
    <w:name w:val="Subtitle"/>
    <w:next w:val="Style_5"/>
    <w:link w:val="Style_33_ch"/>
    <w:uiPriority w:val="11"/>
    <w:qFormat/>
    <w:rPr>
      <w:rFonts w:ascii="XO Thames" w:hAnsi="XO Thames"/>
      <w:i w:val="1"/>
      <w:color w:val="616161"/>
      <w:sz w:val="24"/>
    </w:rPr>
  </w:style>
  <w:style w:styleId="Style_33_ch" w:type="character">
    <w:name w:val="Subtitle"/>
    <w:link w:val="Style_33"/>
    <w:rPr>
      <w:rFonts w:ascii="XO Thames" w:hAnsi="XO Thames"/>
      <w:i w:val="1"/>
      <w:color w:val="616161"/>
      <w:sz w:val="24"/>
    </w:rPr>
  </w:style>
  <w:style w:styleId="Style_34" w:type="paragraph">
    <w:name w:val="toc 10"/>
    <w:next w:val="Style_5"/>
    <w:link w:val="Style_34_ch"/>
    <w:uiPriority w:val="39"/>
    <w:pPr>
      <w:ind w:firstLine="0" w:left="1800"/>
    </w:pPr>
  </w:style>
  <w:style w:styleId="Style_34_ch" w:type="character">
    <w:name w:val="toc 10"/>
    <w:link w:val="Style_34"/>
  </w:style>
  <w:style w:styleId="Style_35" w:type="paragraph">
    <w:name w:val="Title"/>
    <w:next w:val="Style_5"/>
    <w:link w:val="Style_35_ch"/>
    <w:uiPriority w:val="10"/>
    <w:qFormat/>
    <w:rPr>
      <w:rFonts w:ascii="XO Thames" w:hAnsi="XO Thames"/>
      <w:b w:val="1"/>
      <w:sz w:val="52"/>
    </w:rPr>
  </w:style>
  <w:style w:styleId="Style_35_ch" w:type="character">
    <w:name w:val="Title"/>
    <w:link w:val="Style_35"/>
    <w:rPr>
      <w:rFonts w:ascii="XO Thames" w:hAnsi="XO Thames"/>
      <w:b w:val="1"/>
      <w:sz w:val="52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6_ch" w:type="character">
    <w:name w:val="heading 4"/>
    <w:link w:val="Style_36"/>
    <w:rPr>
      <w:rFonts w:ascii="XO Thames" w:hAnsi="XO Thames"/>
      <w:b w:val="1"/>
      <w:color w:val="595959"/>
      <w:sz w:val="26"/>
    </w:rPr>
  </w:style>
  <w:style w:styleId="Style_37" w:type="paragraph">
    <w:name w:val="heading 2"/>
    <w:next w:val="Style_5"/>
    <w:link w:val="Style_3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7_ch" w:type="character">
    <w:name w:val="heading 2"/>
    <w:link w:val="Style_37"/>
    <w:rPr>
      <w:rFonts w:ascii="XO Thames" w:hAnsi="XO Thames"/>
      <w:b w:val="1"/>
      <w:color w:val="00A0FF"/>
      <w:sz w:val="26"/>
    </w:rPr>
  </w:style>
  <w:style w:styleId="Style_38" w:type="paragraph">
    <w:name w:val="ConsPlusJurTerm"/>
    <w:link w:val="Style_38_ch"/>
    <w:pPr>
      <w:widowControl w:val="0"/>
      <w:ind/>
    </w:pPr>
    <w:rPr>
      <w:rFonts w:ascii="Tahoma" w:hAnsi="Tahoma"/>
      <w:sz w:val="26"/>
    </w:rPr>
  </w:style>
  <w:style w:styleId="Style_38_ch" w:type="character">
    <w:name w:val="ConsPlusJurTerm"/>
    <w:link w:val="Style_38"/>
    <w:rPr>
      <w:rFonts w:ascii="Tahoma" w:hAnsi="Tahoma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footer4.xml" Type="http://schemas.openxmlformats.org/officeDocument/2006/relationships/footer"/>
  <Relationship Id="rId8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2022-09-06T11:46:26Z</dcterms:modified>
</cp:coreProperties>
</file>