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3000000">
      <w:pPr>
        <w:pStyle w:val="Style_1"/>
        <w:ind/>
        <w:jc w:val="both"/>
        <w:outlineLvl w:val="0"/>
      </w:pPr>
    </w:p>
    <w:p w14:paraId="14000000">
      <w:pPr>
        <w:pStyle w:val="Style_2"/>
        <w:ind/>
        <w:jc w:val="center"/>
        <w:outlineLvl w:val="0"/>
      </w:pPr>
      <w:r>
        <w:rPr>
          <w:sz w:val="20"/>
        </w:rPr>
        <w:t>ПРАВИТЕЛЬСТВО САМАРСКОЙ ОБЛАСТИ</w:t>
      </w:r>
    </w:p>
    <w:p w14:paraId="15000000">
      <w:pPr>
        <w:pStyle w:val="Style_2"/>
        <w:ind/>
        <w:jc w:val="center"/>
      </w:pPr>
    </w:p>
    <w:p w14:paraId="16000000">
      <w:pPr>
        <w:pStyle w:val="Style_2"/>
        <w:ind/>
        <w:jc w:val="center"/>
      </w:pPr>
      <w:r>
        <w:rPr>
          <w:sz w:val="20"/>
        </w:rPr>
        <w:t>ПОСТАНОВЛЕНИЕ</w:t>
      </w:r>
    </w:p>
    <w:p w14:paraId="17000000">
      <w:pPr>
        <w:pStyle w:val="Style_2"/>
        <w:ind/>
        <w:jc w:val="center"/>
      </w:pPr>
      <w:r>
        <w:rPr>
          <w:sz w:val="20"/>
        </w:rPr>
        <w:t>от 29 августа 2022 г. N 710</w:t>
      </w:r>
    </w:p>
    <w:p w14:paraId="18000000">
      <w:pPr>
        <w:pStyle w:val="Style_2"/>
      </w:pPr>
    </w:p>
    <w:p w14:paraId="19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О ПРОДЛЕНИИ СРОКА УПЛАТЫ АВАНСОВЫХ ПЛАТЕЖЕЙ ПО НАЛОГУ</w:t>
      </w:r>
    </w:p>
    <w:p w14:paraId="1A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НА ИМУЩЕСТВО ОРГАНИЗАЦИЙ ДЛЯ ОТДЕЛЬНЫХ КАТЕГОРИЙ</w:t>
      </w:r>
    </w:p>
    <w:p w14:paraId="1B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НАЛОГОПЛАТЕЛЬЩИКОВ В УСЛОВИЯХ ВНЕШНЕГО САНКЦИОННОГО ДАВЛЕНИЯ</w:t>
      </w:r>
    </w:p>
    <w:p w14:paraId="1C000000">
      <w:pPr>
        <w:pStyle w:val="Style_1"/>
        <w:ind/>
        <w:jc w:val="both"/>
        <w:rPr>
          <w:color w:val="000000"/>
        </w:rPr>
      </w:pPr>
    </w:p>
    <w:p w14:paraId="1D000000">
      <w:pPr>
        <w:pStyle w:val="Style_1"/>
        <w:ind w:firstLine="540"/>
        <w:jc w:val="both"/>
        <w:rPr>
          <w:color w:val="000000"/>
        </w:rPr>
      </w:pPr>
      <w:r>
        <w:rPr>
          <w:color w:val="000000"/>
          <w:sz w:val="20"/>
        </w:rPr>
        <w:t xml:space="preserve">В соответствии с </w:t>
      </w: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>HYPERLINK "consultantplus://offline/ref=C376ADDB70214EA3EA9735385E9EA12ED0AB92CFD4D5173F6817430543724EA30694F6D4962B8609C6C7226034864258F41C2A8ADAF801y1K" \o ""Налоговый кодекс Российской Федерации (часть первая)" от 31.07.1998 N 146-ФЗ (ред. от 28.06.2022) (с изм. и доп., вступ. в силу с 01.08.2022) {КонсультантПлюс}"</w:instrText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t>пунктом 4 статьи 4</w:t>
      </w:r>
      <w:r>
        <w:rPr>
          <w:color w:val="000000"/>
          <w:sz w:val="20"/>
        </w:rPr>
        <w:fldChar w:fldCharType="end"/>
      </w:r>
      <w:r>
        <w:rPr>
          <w:color w:val="000000"/>
          <w:sz w:val="20"/>
        </w:rPr>
        <w:t xml:space="preserve"> Налогового кодекса Российской Федерации в целях снижения налоговой нагрузки на предприятия автокомпонентной отрасли и предприятия смежных отраслей, осуществляющих поставки продукции для автомобильной промышленности в условиях внешнего санкционного давления, Правительство Самарской области постановляет:</w:t>
      </w:r>
    </w:p>
    <w:p w14:paraId="1E000000">
      <w:pPr>
        <w:pStyle w:val="Style_1"/>
        <w:spacing w:before="200"/>
        <w:ind w:firstLine="540"/>
        <w:jc w:val="both"/>
        <w:rPr>
          <w:color w:val="000000"/>
        </w:rPr>
      </w:pPr>
      <w:r>
        <w:rPr>
          <w:color w:val="000000"/>
          <w:sz w:val="20"/>
        </w:rPr>
        <w:t xml:space="preserve">1. Продлить срок уплаты авансовых платежей по налогу на имущество организаций, осуществляющих виды экономической деятельности в соответствии с </w:t>
      </w: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>HYPERLINK \l "P30" \o "ПЕРЕЧЕНЬ"</w:instrText>
      </w:r>
      <w:r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t>приложением</w:t>
      </w:r>
      <w:r>
        <w:rPr>
          <w:color w:val="000000"/>
          <w:sz w:val="20"/>
        </w:rPr>
        <w:fldChar w:fldCharType="end"/>
      </w:r>
      <w:r>
        <w:rPr>
          <w:color w:val="000000"/>
          <w:sz w:val="20"/>
        </w:rPr>
        <w:t xml:space="preserve"> к настоящему Постановлению, за девять месяцев 2022 года - до 15 декабря 2022 года (включительно).</w:t>
      </w:r>
    </w:p>
    <w:p w14:paraId="1F000000">
      <w:pPr>
        <w:pStyle w:val="Style_1"/>
        <w:spacing w:before="200"/>
        <w:ind w:firstLine="540"/>
        <w:jc w:val="both"/>
        <w:rPr>
          <w:color w:val="000000"/>
        </w:rPr>
      </w:pPr>
      <w:r>
        <w:rPr>
          <w:color w:val="000000"/>
          <w:sz w:val="20"/>
        </w:rPr>
        <w:t>В целях применения настоящего Постановления осуществление организациями соответствующих видов экономической деятельности определяется по коду основного вида деятельности, информация о котором содержится в Едином государственном реестре юридических лиц по состоянию на 1 марта 2022 года.</w:t>
      </w:r>
    </w:p>
    <w:p w14:paraId="20000000">
      <w:pPr>
        <w:pStyle w:val="Style_1"/>
        <w:spacing w:before="200"/>
        <w:ind w:firstLine="540"/>
        <w:jc w:val="both"/>
        <w:rPr>
          <w:color w:val="000000"/>
        </w:rPr>
      </w:pPr>
      <w:r>
        <w:rPr>
          <w:color w:val="000000"/>
          <w:sz w:val="20"/>
        </w:rPr>
        <w:t>2. Контроль за выполнением настоящего Постановления возложить на министерство управления финансами Самарской области.</w:t>
      </w:r>
    </w:p>
    <w:p w14:paraId="21000000">
      <w:pPr>
        <w:pStyle w:val="Style_1"/>
        <w:spacing w:before="200"/>
        <w:ind w:firstLine="540"/>
        <w:jc w:val="both"/>
        <w:rPr>
          <w:color w:val="000000"/>
        </w:rPr>
      </w:pPr>
      <w:r>
        <w:rPr>
          <w:color w:val="000000"/>
          <w:sz w:val="20"/>
        </w:rPr>
        <w:t>3. Опубликовать настоящее Постановление в средствах массовой информации.</w:t>
      </w:r>
    </w:p>
    <w:p w14:paraId="22000000">
      <w:pPr>
        <w:pStyle w:val="Style_1"/>
        <w:spacing w:before="200"/>
        <w:ind w:firstLine="540"/>
        <w:jc w:val="both"/>
        <w:rPr>
          <w:color w:val="000000"/>
        </w:rPr>
      </w:pPr>
      <w:r>
        <w:rPr>
          <w:color w:val="000000"/>
          <w:sz w:val="20"/>
        </w:rPr>
        <w:t>4. Настоящее Постановление вступает в силу со дня его официального опубликования.</w:t>
      </w:r>
    </w:p>
    <w:p w14:paraId="23000000">
      <w:pPr>
        <w:pStyle w:val="Style_1"/>
        <w:ind/>
        <w:jc w:val="both"/>
        <w:rPr>
          <w:color w:val="000000"/>
        </w:rPr>
      </w:pPr>
    </w:p>
    <w:p w14:paraId="24000000">
      <w:pPr>
        <w:pStyle w:val="Style_1"/>
        <w:ind/>
        <w:jc w:val="right"/>
        <w:rPr>
          <w:i w:val="1"/>
          <w:color w:val="000000"/>
        </w:rPr>
      </w:pPr>
      <w:r>
        <w:rPr>
          <w:i w:val="1"/>
          <w:color w:val="000000"/>
          <w:sz w:val="20"/>
        </w:rPr>
        <w:t>Первый вице-губернатор - председатель</w:t>
      </w:r>
    </w:p>
    <w:p w14:paraId="25000000">
      <w:pPr>
        <w:pStyle w:val="Style_1"/>
        <w:ind/>
        <w:jc w:val="right"/>
        <w:rPr>
          <w:i w:val="1"/>
          <w:color w:val="000000"/>
        </w:rPr>
      </w:pPr>
      <w:r>
        <w:rPr>
          <w:i w:val="1"/>
          <w:color w:val="000000"/>
          <w:sz w:val="20"/>
        </w:rPr>
        <w:t>Правительства Самарской области</w:t>
      </w:r>
    </w:p>
    <w:p w14:paraId="26000000">
      <w:pPr>
        <w:pStyle w:val="Style_1"/>
        <w:ind/>
        <w:jc w:val="right"/>
        <w:rPr>
          <w:i w:val="1"/>
          <w:color w:val="000000"/>
        </w:rPr>
      </w:pPr>
      <w:r>
        <w:rPr>
          <w:i w:val="1"/>
          <w:color w:val="000000"/>
          <w:sz w:val="20"/>
        </w:rPr>
        <w:t>В.В.Кудряшов</w:t>
      </w:r>
    </w:p>
    <w:p w14:paraId="27000000">
      <w:pPr>
        <w:pStyle w:val="Style_1"/>
        <w:ind/>
        <w:jc w:val="both"/>
        <w:rPr>
          <w:i w:val="1"/>
          <w:color w:val="000000"/>
        </w:rPr>
      </w:pPr>
    </w:p>
    <w:p w14:paraId="28000000">
      <w:pPr>
        <w:pStyle w:val="Style_1"/>
        <w:ind/>
        <w:jc w:val="both"/>
        <w:rPr>
          <w:i w:val="1"/>
          <w:color w:val="000000"/>
        </w:rPr>
      </w:pPr>
    </w:p>
    <w:p w14:paraId="29000000">
      <w:pPr>
        <w:pStyle w:val="Style_1"/>
        <w:ind/>
        <w:jc w:val="both"/>
        <w:rPr>
          <w:color w:val="000000"/>
        </w:rPr>
      </w:pPr>
    </w:p>
    <w:p w14:paraId="2A000000">
      <w:pPr>
        <w:pStyle w:val="Style_1"/>
        <w:ind/>
        <w:jc w:val="both"/>
        <w:rPr>
          <w:color w:val="000000"/>
        </w:rPr>
      </w:pPr>
    </w:p>
    <w:p w14:paraId="2B000000">
      <w:pPr>
        <w:pStyle w:val="Style_1"/>
        <w:ind/>
        <w:jc w:val="both"/>
        <w:rPr>
          <w:color w:val="000000"/>
        </w:rPr>
      </w:pPr>
    </w:p>
    <w:p w14:paraId="2C000000">
      <w:pPr>
        <w:pStyle w:val="Style_1"/>
        <w:ind/>
        <w:jc w:val="right"/>
        <w:outlineLvl w:val="0"/>
        <w:rPr>
          <w:color w:val="000000"/>
        </w:rPr>
      </w:pPr>
      <w:r>
        <w:rPr>
          <w:color w:val="000000"/>
          <w:sz w:val="20"/>
        </w:rPr>
        <w:t>Приложение</w:t>
      </w:r>
    </w:p>
    <w:p w14:paraId="2D000000">
      <w:pPr>
        <w:pStyle w:val="Style_1"/>
        <w:ind/>
        <w:jc w:val="right"/>
        <w:rPr>
          <w:color w:val="000000"/>
        </w:rPr>
      </w:pPr>
      <w:r>
        <w:rPr>
          <w:color w:val="000000"/>
          <w:sz w:val="20"/>
        </w:rPr>
        <w:t>к Постановлению</w:t>
      </w:r>
    </w:p>
    <w:p w14:paraId="2E000000">
      <w:pPr>
        <w:pStyle w:val="Style_1"/>
        <w:ind/>
        <w:jc w:val="right"/>
        <w:rPr>
          <w:color w:val="000000"/>
        </w:rPr>
      </w:pPr>
      <w:r>
        <w:rPr>
          <w:color w:val="000000"/>
          <w:sz w:val="20"/>
        </w:rPr>
        <w:t>Правительства Самарской области</w:t>
      </w:r>
    </w:p>
    <w:p w14:paraId="2F000000">
      <w:pPr>
        <w:pStyle w:val="Style_1"/>
        <w:ind/>
        <w:jc w:val="right"/>
        <w:rPr>
          <w:color w:val="000000"/>
        </w:rPr>
      </w:pPr>
      <w:r>
        <w:rPr>
          <w:color w:val="000000"/>
          <w:sz w:val="20"/>
        </w:rPr>
        <w:t>от 29 августа 2022 г. N 710</w:t>
      </w:r>
    </w:p>
    <w:p w14:paraId="30000000">
      <w:pPr>
        <w:pStyle w:val="Style_1"/>
        <w:ind/>
        <w:jc w:val="both"/>
        <w:rPr>
          <w:color w:val="000000"/>
        </w:rPr>
      </w:pPr>
      <w:bookmarkStart w:id="1" w:name="P30"/>
      <w:bookmarkEnd w:id="1"/>
    </w:p>
    <w:p w14:paraId="31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ПЕРЕЧЕНЬ</w:t>
      </w:r>
    </w:p>
    <w:p w14:paraId="32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ВИДОВ ЭКОНОМИЧЕСКОЙ ДЕЯТЕЛЬНОСТИ, ОСУЩЕСТВЛЕНИЕ КОТОРЫХ ДАЕТ</w:t>
      </w:r>
    </w:p>
    <w:p w14:paraId="33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НАЛОГОПЛАТЕЛЬЩИКАМ ПРАВО ПРОДЛЕНИЯ СРОКА УПЛАТЫ АВАНСОВЫХ</w:t>
      </w:r>
    </w:p>
    <w:p w14:paraId="34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ПЛАТЕЖЕЙ ПО НАЛОГУ НА ИМУЩЕСТВО ОРГАНИЗАЦИЙ</w:t>
      </w:r>
    </w:p>
    <w:p w14:paraId="35000000">
      <w:pPr>
        <w:pStyle w:val="Style_2"/>
        <w:ind/>
        <w:jc w:val="center"/>
        <w:rPr>
          <w:color w:val="000000"/>
        </w:rPr>
      </w:pPr>
      <w:r>
        <w:rPr>
          <w:color w:val="000000"/>
          <w:sz w:val="20"/>
        </w:rPr>
        <w:t>ЗА ДЕВЯТЬ МЕСЯЦЕВ 2022 ГОДА</w:t>
      </w:r>
    </w:p>
    <w:p w14:paraId="36000000">
      <w:pPr>
        <w:pStyle w:val="Style_1"/>
        <w:ind/>
        <w:jc w:val="both"/>
        <w:rPr>
          <w:color w:val="000000"/>
        </w:rPr>
      </w:pPr>
    </w:p>
    <w:tbl>
      <w:tblPr>
        <w:tblInd w:type="dxa" w:w="0"/>
        <w:tblBorders>
          <w:top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860"/>
        <w:gridCol w:w="1963"/>
      </w:tblGrid>
      <w:tr>
        <w:tc>
          <w:tcPr>
            <w:tcW w:type="dxa" w:w="6860"/>
            <w:tcBorders>
              <w:top w:sz="4" w:val="single"/>
              <w:bottom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Наименование вида экономической деятельности</w:t>
            </w:r>
          </w:p>
        </w:tc>
        <w:tc>
          <w:tcPr>
            <w:tcW w:type="dxa" w:w="1963"/>
            <w:tcBorders>
              <w:top w:sz="4" w:val="single"/>
              <w:bottom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1"/>
              <w:rPr>
                <w:color w:val="000000"/>
              </w:rPr>
            </w:pPr>
            <w:r>
              <w:rPr>
                <w:color w:val="000000"/>
                <w:sz w:val="20"/>
              </w:rPr>
              <w:t>Код ОКВЭД 2</w:t>
            </w:r>
          </w:p>
        </w:tc>
      </w:tr>
      <w:tr>
        <w:tc>
          <w:tcPr>
            <w:tcW w:type="dxa" w:w="6860"/>
            <w:tcBorders>
              <w:top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нетканых текстильных материалов и изделий из них, кроме одежды</w:t>
            </w:r>
          </w:p>
        </w:tc>
        <w:tc>
          <w:tcPr>
            <w:tcW w:type="dxa" w:w="1963"/>
            <w:tcBorders>
              <w:top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"consultantplus://offline/ref=C376ADDB70214EA3EA9735385E9EA12ED0A890CCD3D2173F6817430543724EA30694F6D0922C8E07949D32647DD34946F20B3481C4F813E806y4K"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13.95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пластмасс и синтетических смол в первичных формах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"consultantplus://offline/ref=C376ADDB70214EA3EA9735385E9EA12ED0A890CCD3D2173F6817430543724EA30694F6D0922C8A02959D32647DD34946F20B3481C4F813E806y4K"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20.16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резиновых шин, покрышек и камер; восстановление резиновых шин и покрышек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"consultantplus://offline/ref=C376ADDB70214EA3EA9735385E9EA12ED0A890CCD3D2173F6817430543724EA30694F6D0922C8A0A959D32647DD34946F20B3481C4F813E806y4K"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22.11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прочих резиновых изделий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"consultantplus://offline/ref=C376ADDB70214EA3EA9735385E9EA12ED0A890CCD3D2173F6817430543724EA30694F6D0922C8A0A9B9D32647DD34946F20B3481C4F813E806y4K"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22.19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пластмассовых плит, полос, труб и профилей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"consultantplus://offline/ref=C376ADDB70214EA3EA9735385E9EA12ED0A890CCD3D2173F6817430543724EA30694F6D0922887059B9D32647DD34946F20B3481C4F813E806y4K"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22.21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прочих пластмассовых изделий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"consultantplus://offline/ref=C376ADDB70214EA3EA9735385E9EA12ED0A890CCD3D2173F6817430543724EA30694F6D0922B8F00929D32647DD34946F20B3481C4F813E806y4K"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22.29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стекла и изделий из стекла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"consultantplus://offline/ref=C376ADDB70214EA3EA9735385E9EA12ED0A890CCD3D2173F6817430543724EA30694F6D0922C8900969D32647DD34946F20B3481C4F813E806y4K"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23.1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листового стекла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"consultantplus://offline/ref=C376ADDB70214EA3EA9735385E9EA12ED0A890CCD3D2173F6817430543724EA30694F6D0922C8900949D32647DD34946F20B3481C4F813E806y4K"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23.11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Формирование и обработка листового стекла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"consultantplus://offline/ref=C376ADDB70214EA3EA9735385E9EA12ED0A890CCD3D2173F6817430543724EA30694F6D0922C8901949D32647DD34946F20B3481C4F813E806y4K"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23.12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"consultantplus://offline/ref=C376ADDB70214EA3EA9735385E9EA12ED0A890CCD3D2173F6817430543724EA30694F6D0922C8805929D32647DD34946F20B3481C4F813E806y4K"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23.99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Литье легких металлов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"consultantplus://offline/ref=C376ADDB70214EA3EA9735385E9EA12ED0A890CCD3D2173F6817430543724EA30694F6D0922C870A919D32647DD34946F20B3481C4F813E806y4K"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24.53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"consultantplus://offline/ref=C376ADDB70214EA3EA9735385E9EA12ED0A890CCD3D2173F6817430543724EA30694F6D0922C8600929D32647DD34946F20B3481C4F813E806y4K"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25.50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"consultantplus://offline/ref=C376ADDB70214EA3EA9735385E9EA12ED0A890CCD3D2173F6817430543724EA30694F6D0922C8600949D32647DD34946F20B3481C4F813E806y4K"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25.6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Обработка металлов и нанесение покрытий на металлы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"consultantplus://offline/ref=C376ADDB70214EA3EA9735385E9EA12ED0A890CCD3D2173F6817430543724EA30694F6D0922C86009A9D32647DD34946F20B3481C4F813E806y4K"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25.61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Обработка металлических изделий механическая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"consultantplus://offline/ref=C376ADDB70214EA3EA9735385E9EA12ED0A890CCD3D2173F6817430543724EA30694F6D0922C8601929D32647DD34946F20B3481C4F813E806y4K"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25.62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инструмента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"consultantplus://offline/ref=C376ADDB70214EA3EA9735385E9EA12ED0A890CCD3D2173F6817430543724EA30694F6D0922C86019A9D32647DD34946F20B3481C4F813E806y4K"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25.73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изделий из проволоки, цепей и пружин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"consultantplus://offline/ref=C376ADDB70214EA3EA9735385E9EA12ED0A890CCD3D2173F6817430543724EA30694F6D0922C8606949D32647DD34946F20B3481C4F813E806y4K"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25.93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изделий из проволоки и пружин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"consultantplus://offline/ref=C376ADDB70214EA3EA9735385E9EA12ED0A890CCD3D2173F6817430543724EA30694F6D0922C86069A9D32647DD34946F20B3481C4F813E806y4K"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25.93.1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крепежных изделий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"consultantplus://offline/ref=C376ADDB70214EA3EA9735385E9EA12ED0A890CCD3D2173F6817430543724EA30694F6D0922C8607909D32647DD34946F20B3481C4F813E806y4K"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25.94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элементов электронной аппаратуры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"consultantplus://offline/ref=C376ADDB70214EA3EA9735385E9EA12ED0A890CCD3D2173F6817430543724EA30694F6D0922C860A919D32647DD34946F20B3481C4F813E806y4K"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26.11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инструментов и приборов для измерения, тестирования и навигации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"consultantplus://offline/ref=C376ADDB70214EA3EA9735385E9EA12ED0A890CCD3D2173F6817430543724EA30694F6D09228870B949D32647DD34946F20B3481C4F813E806y4K"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26.51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электрических аккумуляторов и аккумуляторных батарей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"consultantplus://offline/ref=C376ADDB70214EA3EA9735385E9EA12ED0A890CCD3D2173F6817430543724EA30694F6D0922F8E06949D32647DD34946F20B3481C4F813E806y4K"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27.20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прочих проводов и кабелей для электронного и электрического оборудования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"consultantplus://offline/ref=C376ADDB70214EA3EA9735385E9EA12ED0A890CCD3D2173F6817430543724EA30694F6D0922F8E04969D32647DD34946F20B3481C4F813E806y4K"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27.32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электрических ламп и осветительного оборудования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"consultantplus://offline/ref=C376ADDB70214EA3EA9735385E9EA12ED0A890CCD3D2173F6817430543724EA30694F6D0922F8E05949D32647DD34946F20B3481C4F813E806y4K"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27.40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прочего электрического оборудования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"consultantplus://offline/ref=C376ADDB70214EA3EA9735385E9EA12ED0A890CCD3D2173F6817430543724EA30694F6D092288602909D32647DD34946F20B3481C4F813E806y4K"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27.90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"consultantplus://offline/ref=C376ADDB70214EA3EA9735385E9EA12ED0A890CCD3D2173F6817430543724EA30694F6D0922F8D02979D32647DD34946F20B3481C4F813E806y4K"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28.11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прочих насосов и компрессоров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"consultantplus://offline/ref=C376ADDB70214EA3EA9735385E9EA12ED0A890CCD3D2173F6817430543724EA30694F6D092288603939D32647DD34946F20B3481C4F813E806y4K"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28.13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подшипников, зубчатых передач, элементов механических передач и приводов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"consultantplus://offline/ref=C376ADDB70214EA3EA9735385E9EA12ED0A890CCD3D2173F6817430543724EA30694F6D0922F8D00959D32647DD34946F20B3481C4F813E806y4K"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28.15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"consultantplus://offline/ref=C376ADDB70214EA3EA9735385E9EA12ED0A890CCD3D2173F6817430543724EA30694F6D0922F8D05979D32647DD34946F20B3481C4F813E806y4K"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28.25.1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"consultantplus://offline/ref=C376ADDB70214EA3EA9735385E9EA12ED0A890CCD3D2173F6817430543724EA30694F6D092288603979D32647DD34946F20B3481C4F813E806y4K"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28.99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>
        <w:tc>
          <w:tcPr>
            <w:tcW w:type="dxa" w:w="68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type="dxa" w:w="19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>HYPERLINK "consultantplus://offline/ref=C376ADDB70214EA3EA9735385E9EA12ED0A890CCD3D2173F6817430543724EA30694F6D0922F8B04979D32647DD34946F20B3481C4F813E806y4K" \o ""ОК 029-2014 (КДЕС Ред. 2). Общероссийский классификатор видов экономической деятельности" (утв. Приказом Росстандарта от 31.01.2014 N 14-ст) (ред. от 21.06.2022) {КонсультантПлюс}"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14:paraId="77000000">
      <w:pPr>
        <w:pStyle w:val="Style_1"/>
        <w:ind/>
        <w:jc w:val="both"/>
        <w:rPr>
          <w:color w:val="000000"/>
        </w:rPr>
      </w:pPr>
    </w:p>
    <w:p w14:paraId="78000000">
      <w:pPr>
        <w:pStyle w:val="Style_1"/>
        <w:ind/>
        <w:jc w:val="both"/>
      </w:pPr>
    </w:p>
    <w:p w14:paraId="79000000">
      <w:pPr>
        <w:pStyle w:val="Style_1"/>
        <w:spacing w:after="100" w:before="100"/>
        <w:ind/>
        <w:jc w:val="both"/>
        <w:rPr>
          <w:sz w:val="2"/>
        </w:rPr>
      </w:pPr>
    </w:p>
    <w:sectPr>
      <w:pgSz w:h="16838" w:w="11906"/>
      <w:pgMar w:bottom="841" w:footer="0" w:gutter="0" w:header="0" w:left="595" w:right="595" w:top="84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rPr>
        <w:sz w:val="2"/>
      </w:rPr>
    </w:pPr>
  </w:p>
  <w:tbl>
    <w:tblPr>
      <w:tblInd w:type="dxa" w:w="0"/>
      <w:tblLayout w:type="fixed"/>
      <w:tblCellMar>
        <w:left w:type="dxa" w:w="40"/>
        <w:right w:type="dxa" w:w="40"/>
      </w:tblCellMar>
    </w:tblPr>
    <w:tblGrid>
      <w:gridCol w:w="1"/>
      <w:gridCol w:w="1"/>
      <w:gridCol w:w="1"/>
    </w:tblGrid>
    <w:tr>
      <w:trPr>
        <w:trHeight w:hRule="exact" w:val="1663"/>
      </w:trPr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6000000">
          <w:r>
            <w:rPr>
              <w:rFonts w:ascii="Tahoma" w:hAnsi="Tahoma"/>
              <w:b w:val="1"/>
              <w:color w:val="F58220"/>
              <w:sz w:val="28"/>
            </w:rPr>
            <w:t>КонсультантПлюс</w:t>
          </w:r>
          <w:r>
            <w:rPr>
              <w:rFonts w:ascii="Tahoma" w:hAnsi="Tahoma"/>
              <w:b w:val="1"/>
              <w:sz w:val="16"/>
            </w:rPr>
            <w:br/>
          </w:r>
          <w:r>
            <w:rPr>
              <w:rFonts w:ascii="Tahoma" w:hAnsi="Tahoma"/>
              <w:b w:val="1"/>
              <w:sz w:val="16"/>
            </w:rPr>
            <w:t>надежная правовая поддержка</w:t>
          </w:r>
        </w:p>
      </w:tc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7000000">
          <w:pPr>
            <w:ind/>
            <w:jc w:val="center"/>
          </w:pPr>
          <w:r>
            <w:rPr>
              <w:rFonts w:ascii="Tahoma" w:hAnsi="Tahoma"/>
              <w:b w:val="1"/>
              <w:color w:val="0000FF"/>
            </w:rPr>
            <w:fldChar w:fldCharType="begin"/>
          </w:r>
          <w:r>
            <w:rPr>
              <w:rFonts w:ascii="Tahoma" w:hAnsi="Tahoma"/>
              <w:b w:val="1"/>
              <w:color w:val="0000FF"/>
            </w:rPr>
            <w:instrText>HYPERLINK "https://www.consultant.ru"</w:instrText>
          </w:r>
          <w:r>
            <w:rPr>
              <w:rFonts w:ascii="Tahoma" w:hAnsi="Tahoma"/>
              <w:b w:val="1"/>
              <w:color w:val="0000FF"/>
            </w:rPr>
            <w:fldChar w:fldCharType="separate"/>
          </w:r>
          <w:r>
            <w:rPr>
              <w:rFonts w:ascii="Tahoma" w:hAnsi="Tahoma"/>
              <w:b w:val="1"/>
              <w:color w:val="0000FF"/>
            </w:rPr>
            <w:t>www.consultant.ru</w:t>
          </w:r>
          <w:r>
            <w:rPr>
              <w:rFonts w:ascii="Tahoma" w:hAnsi="Tahoma"/>
              <w:b w:val="1"/>
              <w:color w:val="0000FF"/>
            </w:rPr>
            <w:fldChar w:fldCharType="end"/>
          </w:r>
        </w:p>
      </w:tc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8000000">
          <w:r>
            <w:rPr>
              <w:rFonts w:ascii="Tahoma" w:hAnsi="Tahoma"/>
            </w:rPr>
            <w:t xml:space="preserve">Страница </w:t>
          </w:r>
          <w:r>
            <w:fldChar w:dirty="1"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dirty="1" w:fldCharType="begin"/>
          </w:r>
          <w:r>
            <w:instrText xml:space="preserve">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9000000">
    <w:r>
      <w:rPr>
        <w:sz w:val="2"/>
      </w:rPr>
      <w:t>1</w:t>
    </w: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E000000">
    <w:pPr>
      <w:rPr>
        <w:sz w:val="2"/>
      </w:rPr>
    </w:pPr>
  </w:p>
  <w:tbl>
    <w:tblPr>
      <w:tblInd w:type="dxa" w:w="0"/>
      <w:tblLayout w:type="fixed"/>
      <w:tblCellMar>
        <w:left w:type="dxa" w:w="40"/>
        <w:right w:type="dxa" w:w="40"/>
      </w:tblCellMar>
    </w:tblPr>
    <w:tblGrid>
      <w:gridCol w:w="1"/>
      <w:gridCol w:w="1"/>
      <w:gridCol w:w="1"/>
    </w:tblGrid>
    <w:tr>
      <w:trPr>
        <w:trHeight w:hRule="exact" w:val="1663"/>
      </w:trPr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F000000">
          <w:r>
            <w:rPr>
              <w:rFonts w:ascii="Tahoma" w:hAnsi="Tahoma"/>
              <w:b w:val="1"/>
              <w:color w:val="F58220"/>
              <w:sz w:val="28"/>
            </w:rPr>
            <w:t>КонсультантПлюс</w:t>
          </w:r>
          <w:r>
            <w:rPr>
              <w:rFonts w:ascii="Tahoma" w:hAnsi="Tahoma"/>
              <w:b w:val="1"/>
              <w:sz w:val="16"/>
            </w:rPr>
            <w:br/>
          </w:r>
          <w:r>
            <w:rPr>
              <w:rFonts w:ascii="Tahoma" w:hAnsi="Tahoma"/>
              <w:b w:val="1"/>
              <w:sz w:val="16"/>
            </w:rPr>
            <w:t>надежная правовая поддержка</w:t>
          </w:r>
        </w:p>
      </w:tc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10000000">
          <w:pPr>
            <w:ind/>
            <w:jc w:val="center"/>
          </w:pPr>
          <w:r>
            <w:rPr>
              <w:rFonts w:ascii="Tahoma" w:hAnsi="Tahoma"/>
              <w:b w:val="1"/>
              <w:color w:val="0000FF"/>
            </w:rPr>
            <w:fldChar w:fldCharType="begin"/>
          </w:r>
          <w:r>
            <w:rPr>
              <w:rFonts w:ascii="Tahoma" w:hAnsi="Tahoma"/>
              <w:b w:val="1"/>
              <w:color w:val="0000FF"/>
            </w:rPr>
            <w:instrText>HYPERLINK "https://www.consultant.ru"</w:instrText>
          </w:r>
          <w:r>
            <w:rPr>
              <w:rFonts w:ascii="Tahoma" w:hAnsi="Tahoma"/>
              <w:b w:val="1"/>
              <w:color w:val="0000FF"/>
            </w:rPr>
            <w:fldChar w:fldCharType="separate"/>
          </w:r>
          <w:r>
            <w:rPr>
              <w:rFonts w:ascii="Tahoma" w:hAnsi="Tahoma"/>
              <w:b w:val="1"/>
              <w:color w:val="0000FF"/>
            </w:rPr>
            <w:t>www.consultant.ru</w:t>
          </w:r>
          <w:r>
            <w:rPr>
              <w:rFonts w:ascii="Tahoma" w:hAnsi="Tahoma"/>
              <w:b w:val="1"/>
              <w:color w:val="0000FF"/>
            </w:rPr>
            <w:fldChar w:fldCharType="end"/>
          </w:r>
        </w:p>
      </w:tc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11000000">
          <w:r>
            <w:rPr>
              <w:rFonts w:ascii="Tahoma" w:hAnsi="Tahoma"/>
            </w:rPr>
            <w:t xml:space="preserve">Страница </w:t>
          </w:r>
          <w:r>
            <w:fldChar w:dirty="1"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dirty="1" w:fldCharType="begin"/>
          </w:r>
          <w:r>
            <w:instrText xml:space="preserve">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12000000">
    <w:r>
      <w:rPr>
        <w:sz w:val="2"/>
      </w:rPr>
      <w:t>1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Ind w:type="dxa" w:w="0"/>
      <w:tblLayout w:type="fixed"/>
      <w:tblCellMar>
        <w:left w:type="dxa" w:w="40"/>
        <w:right w:type="dxa" w:w="40"/>
      </w:tblCellMar>
    </w:tblPr>
    <w:tblGrid>
      <w:gridCol w:w="1"/>
      <w:gridCol w:w="1"/>
    </w:tblGrid>
    <w:tr>
      <w:trPr>
        <w:trHeight w:hRule="exact" w:val="1683"/>
      </w:trPr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1000000">
          <w:pPr>
            <w:rPr>
              <w:rFonts w:ascii="Tahoma" w:hAnsi="Tahoma"/>
            </w:rPr>
          </w:pPr>
          <w:r>
            <w:rPr>
              <w:rFonts w:ascii="Tahoma" w:hAnsi="Tahoma"/>
              <w:sz w:val="16"/>
            </w:rPr>
            <w:t>Постановление Правительства Самарской области от 29.08.2022 N 710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"О продлении срока уплаты авансовых платежей по налогу...</w:t>
          </w:r>
        </w:p>
      </w:tc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2000000">
          <w:pPr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Документ предоставлен </w:t>
          </w:r>
          <w:r>
            <w:rPr>
              <w:rFonts w:ascii="Tahoma" w:hAnsi="Tahoma"/>
              <w:color w:val="0000FF"/>
              <w:sz w:val="18"/>
            </w:rPr>
            <w:fldChar w:fldCharType="begin"/>
          </w:r>
          <w:r>
            <w:rPr>
              <w:rFonts w:ascii="Tahoma" w:hAnsi="Tahoma"/>
              <w:color w:val="0000FF"/>
              <w:sz w:val="18"/>
            </w:rPr>
            <w:instrText>HYPERLINK "https://www.consultant.ru" \o "КонсультантПлюс - надежная правовая система"</w:instrText>
          </w:r>
          <w:r>
            <w:rPr>
              <w:rFonts w:ascii="Tahoma" w:hAnsi="Tahoma"/>
              <w:color w:val="0000FF"/>
              <w:sz w:val="18"/>
            </w:rPr>
            <w:fldChar w:fldCharType="separate"/>
          </w:r>
          <w:r>
            <w:rPr>
              <w:rFonts w:ascii="Tahoma" w:hAnsi="Tahoma"/>
              <w:color w:val="0000FF"/>
              <w:sz w:val="18"/>
            </w:rPr>
            <w:t>КонсультантПлюс</w:t>
          </w:r>
          <w:r>
            <w:rPr>
              <w:rFonts w:ascii="Tahoma" w:hAnsi="Tahoma"/>
              <w:color w:val="0000FF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br/>
          </w:r>
          <w:r>
            <w:rPr>
              <w:rFonts w:ascii="Tahoma" w:hAnsi="Tahoma"/>
              <w:sz w:val="16"/>
            </w:rPr>
            <w:t>Дата сохранения: 06.09.2022</w:t>
          </w:r>
        </w:p>
      </w:tc>
    </w:tr>
  </w:tbl>
  <w:p w14:paraId="03000000">
    <w:pPr>
      <w:rPr>
        <w:sz w:val="2"/>
      </w:rPr>
    </w:pPr>
  </w:p>
  <w:p w14:paraId="04000000"/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tbl>
    <w:tblPr>
      <w:tblInd w:type="dxa" w:w="0"/>
      <w:tblLayout w:type="fixed"/>
      <w:tblCellMar>
        <w:left w:type="dxa" w:w="40"/>
        <w:right w:type="dxa" w:w="40"/>
      </w:tblCellMar>
    </w:tblPr>
    <w:tblGrid>
      <w:gridCol w:w="1"/>
      <w:gridCol w:w="1"/>
    </w:tblGrid>
    <w:tr>
      <w:trPr>
        <w:trHeight w:hRule="exact" w:val="1683"/>
      </w:trPr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A000000">
          <w:pPr>
            <w:rPr>
              <w:rFonts w:ascii="Tahoma" w:hAnsi="Tahoma"/>
            </w:rPr>
          </w:pPr>
          <w:r>
            <w:rPr>
              <w:rFonts w:ascii="Tahoma" w:hAnsi="Tahoma"/>
              <w:sz w:val="16"/>
            </w:rPr>
            <w:t>Постановление Правительства Самарской области от 29.08.2022 N 710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"О продлении срока уплаты авансовых платежей по налогу...</w:t>
          </w:r>
        </w:p>
      </w:tc>
      <w:tc>
        <w:tcPr>
          <w:tcW w:type="dxa" w:w="1"/>
          <w:tcMar>
            <w:left w:type="dxa" w:w="40"/>
            <w:right w:type="dxa" w:w="40"/>
          </w:tcMar>
          <w:vAlign w:val="center"/>
        </w:tcPr>
        <w:p w14:paraId="0B000000">
          <w:pPr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Документ предоставлен </w:t>
          </w:r>
          <w:r>
            <w:rPr>
              <w:rFonts w:ascii="Tahoma" w:hAnsi="Tahoma"/>
              <w:color w:val="0000FF"/>
              <w:sz w:val="18"/>
            </w:rPr>
            <w:fldChar w:fldCharType="begin"/>
          </w:r>
          <w:r>
            <w:rPr>
              <w:rFonts w:ascii="Tahoma" w:hAnsi="Tahoma"/>
              <w:color w:val="0000FF"/>
              <w:sz w:val="18"/>
            </w:rPr>
            <w:instrText>HYPERLINK "https://www.consultant.ru" \o "КонсультантПлюс - надежная правовая система"</w:instrText>
          </w:r>
          <w:r>
            <w:rPr>
              <w:rFonts w:ascii="Tahoma" w:hAnsi="Tahoma"/>
              <w:color w:val="0000FF"/>
              <w:sz w:val="18"/>
            </w:rPr>
            <w:fldChar w:fldCharType="separate"/>
          </w:r>
          <w:r>
            <w:rPr>
              <w:rFonts w:ascii="Tahoma" w:hAnsi="Tahoma"/>
              <w:color w:val="0000FF"/>
              <w:sz w:val="18"/>
            </w:rPr>
            <w:t>КонсультантПлюс</w:t>
          </w:r>
          <w:r>
            <w:rPr>
              <w:rFonts w:ascii="Tahoma" w:hAnsi="Tahoma"/>
              <w:color w:val="0000FF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br/>
          </w:r>
          <w:r>
            <w:rPr>
              <w:rFonts w:ascii="Tahoma" w:hAnsi="Tahoma"/>
              <w:sz w:val="16"/>
            </w:rPr>
            <w:t>Дата сохранения: 06.09.2022</w:t>
          </w:r>
        </w:p>
      </w:tc>
    </w:tr>
  </w:tbl>
  <w:p w14:paraId="0C000000">
    <w:pPr>
      <w:rPr>
        <w:sz w:val="2"/>
      </w:rPr>
    </w:pPr>
  </w:p>
  <w:p w14:paraId="0D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ConsPlusNormal"/>
    <w:link w:val="Style_1_ch"/>
    <w:pPr>
      <w:widowControl w:val="0"/>
      <w:ind/>
    </w:pPr>
    <w:rPr>
      <w:rFonts w:ascii="Arial" w:hAnsi="Arial"/>
      <w:sz w:val="20"/>
    </w:rPr>
  </w:style>
  <w:style w:default="1" w:styleId="Style_1_ch" w:type="character">
    <w:name w:val="ConsPlusNormal"/>
    <w:link w:val="Style_1"/>
    <w:rPr>
      <w:rFonts w:ascii="Arial" w:hAnsi="Arial"/>
      <w:sz w:val="20"/>
    </w:rPr>
  </w:style>
  <w:style w:styleId="Style_3" w:type="paragraph">
    <w:name w:val="ConsPlusDocList"/>
    <w:link w:val="Style_3_ch"/>
    <w:pPr>
      <w:widowControl w:val="0"/>
      <w:ind/>
    </w:pPr>
    <w:rPr>
      <w:rFonts w:ascii="Courier New" w:hAnsi="Courier New"/>
      <w:sz w:val="20"/>
    </w:rPr>
  </w:style>
  <w:style w:styleId="Style_3_ch" w:type="character">
    <w:name w:val="ConsPlusDocList"/>
    <w:link w:val="Style_3"/>
    <w:rPr>
      <w:rFonts w:ascii="Courier New" w:hAnsi="Courier New"/>
      <w:sz w:val="20"/>
    </w:rPr>
  </w:style>
  <w:style w:styleId="Style_4" w:type="paragraph">
    <w:name w:val="toc 2"/>
    <w:next w:val="Style_5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6" w:type="paragraph">
    <w:name w:val="toc 4"/>
    <w:next w:val="Style_5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5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5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  <w:sz w:val="20"/>
    </w:rPr>
  </w:style>
  <w:style w:styleId="Style_9_ch" w:type="character">
    <w:name w:val="ConsPlusTitle"/>
    <w:link w:val="Style_9"/>
    <w:rPr>
      <w:rFonts w:ascii="Arial" w:hAnsi="Arial"/>
      <w:b w:val="1"/>
      <w:sz w:val="20"/>
    </w:rPr>
  </w:style>
  <w:style w:styleId="Style_5" w:type="paragraph">
    <w:name w:val="Normal"/>
    <w:link w:val="Style_5_ch"/>
    <w:uiPriority w:val="0"/>
    <w:qFormat/>
  </w:style>
  <w:style w:styleId="Style_5_ch" w:type="character">
    <w:name w:val="Normal"/>
    <w:link w:val="Style_5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onsPlusTextList"/>
    <w:link w:val="Style_11_ch"/>
    <w:pPr>
      <w:widowControl w:val="0"/>
      <w:ind/>
    </w:pPr>
    <w:rPr>
      <w:rFonts w:ascii="Arial" w:hAnsi="Arial"/>
      <w:sz w:val="20"/>
    </w:rPr>
  </w:style>
  <w:style w:styleId="Style_11_ch" w:type="character">
    <w:name w:val="ConsPlusTextList"/>
    <w:link w:val="Style_11"/>
    <w:rPr>
      <w:rFonts w:ascii="Arial" w:hAnsi="Arial"/>
      <w:sz w:val="20"/>
    </w:rPr>
  </w:style>
  <w:style w:styleId="Style_12" w:type="paragraph">
    <w:name w:val="ConsPlusTitlePage"/>
    <w:link w:val="Style_12_ch"/>
    <w:pPr>
      <w:widowControl w:val="0"/>
      <w:ind/>
    </w:pPr>
    <w:rPr>
      <w:rFonts w:ascii="Tahoma" w:hAnsi="Tahoma"/>
      <w:sz w:val="20"/>
    </w:rPr>
  </w:style>
  <w:style w:styleId="Style_12_ch" w:type="character">
    <w:name w:val="ConsPlusTitlePage"/>
    <w:link w:val="Style_12"/>
    <w:rPr>
      <w:rFonts w:ascii="Tahoma" w:hAnsi="Tahoma"/>
      <w:sz w:val="20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3" w:type="paragraph">
    <w:name w:val="ConsPlusTextList"/>
    <w:link w:val="Style_13_ch"/>
    <w:pPr>
      <w:widowControl w:val="0"/>
      <w:ind/>
    </w:pPr>
    <w:rPr>
      <w:rFonts w:ascii="Arial" w:hAnsi="Arial"/>
      <w:sz w:val="20"/>
    </w:rPr>
  </w:style>
  <w:style w:styleId="Style_13_ch" w:type="character">
    <w:name w:val="ConsPlusTextList"/>
    <w:link w:val="Style_13"/>
    <w:rPr>
      <w:rFonts w:ascii="Arial" w:hAnsi="Arial"/>
      <w:sz w:val="20"/>
    </w:rPr>
  </w:style>
  <w:style w:styleId="Style_14" w:type="paragraph">
    <w:name w:val="ConsPlusJurTerm"/>
    <w:link w:val="Style_14_ch"/>
    <w:pPr>
      <w:widowControl w:val="0"/>
      <w:ind/>
    </w:pPr>
    <w:rPr>
      <w:rFonts w:ascii="Tahoma" w:hAnsi="Tahoma"/>
      <w:sz w:val="26"/>
    </w:rPr>
  </w:style>
  <w:style w:styleId="Style_14_ch" w:type="character">
    <w:name w:val="ConsPlusJurTerm"/>
    <w:link w:val="Style_14"/>
    <w:rPr>
      <w:rFonts w:ascii="Tahoma" w:hAnsi="Tahoma"/>
      <w:sz w:val="26"/>
    </w:rPr>
  </w:style>
  <w:style w:styleId="Style_15" w:type="paragraph">
    <w:name w:val="ConsPlusTextList"/>
    <w:link w:val="Style_15_ch"/>
    <w:pPr>
      <w:widowControl w:val="0"/>
      <w:ind/>
    </w:pPr>
    <w:rPr>
      <w:rFonts w:ascii="Arial" w:hAnsi="Arial"/>
      <w:sz w:val="20"/>
    </w:rPr>
  </w:style>
  <w:style w:styleId="Style_15_ch" w:type="character">
    <w:name w:val="ConsPlusTextList"/>
    <w:link w:val="Style_15"/>
    <w:rPr>
      <w:rFonts w:ascii="Arial" w:hAnsi="Arial"/>
      <w:sz w:val="20"/>
    </w:rPr>
  </w:style>
  <w:style w:styleId="Style_16" w:type="paragraph">
    <w:name w:val="ConsPlusDocList"/>
    <w:link w:val="Style_16_ch"/>
    <w:pPr>
      <w:widowControl w:val="0"/>
      <w:ind/>
    </w:pPr>
    <w:rPr>
      <w:rFonts w:ascii="Courier New" w:hAnsi="Courier New"/>
      <w:sz w:val="20"/>
    </w:rPr>
  </w:style>
  <w:style w:styleId="Style_16_ch" w:type="character">
    <w:name w:val="ConsPlusDocList"/>
    <w:link w:val="Style_16"/>
    <w:rPr>
      <w:rFonts w:ascii="Courier New" w:hAnsi="Courier New"/>
      <w:sz w:val="20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  <w:sz w:val="20"/>
    </w:rPr>
  </w:style>
  <w:style w:styleId="Style_17_ch" w:type="character">
    <w:name w:val="ConsPlusNonformat"/>
    <w:link w:val="Style_17"/>
    <w:rPr>
      <w:rFonts w:ascii="Courier New" w:hAnsi="Courier New"/>
      <w:sz w:val="20"/>
    </w:rPr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ConsPlusCell"/>
    <w:link w:val="Style_19_ch"/>
    <w:pPr>
      <w:widowControl w:val="0"/>
      <w:ind/>
    </w:pPr>
    <w:rPr>
      <w:rFonts w:ascii="Courier New" w:hAnsi="Courier New"/>
      <w:sz w:val="20"/>
    </w:rPr>
  </w:style>
  <w:style w:styleId="Style_19_ch" w:type="character">
    <w:name w:val="ConsPlusCell"/>
    <w:link w:val="Style_19"/>
    <w:rPr>
      <w:rFonts w:ascii="Courier New" w:hAnsi="Courier New"/>
      <w:sz w:val="20"/>
    </w:rPr>
  </w:style>
  <w:style w:styleId="Style_20" w:type="paragraph">
    <w:name w:val="ConsPlusTitlePage"/>
    <w:link w:val="Style_20_ch"/>
    <w:pPr>
      <w:widowControl w:val="0"/>
      <w:ind/>
    </w:pPr>
    <w:rPr>
      <w:rFonts w:ascii="Tahoma" w:hAnsi="Tahoma"/>
      <w:sz w:val="20"/>
    </w:rPr>
  </w:style>
  <w:style w:styleId="Style_20_ch" w:type="character">
    <w:name w:val="ConsPlusTitlePage"/>
    <w:link w:val="Style_20"/>
    <w:rPr>
      <w:rFonts w:ascii="Tahoma" w:hAnsi="Tahoma"/>
      <w:sz w:val="20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ConsPlusTextList"/>
    <w:link w:val="Style_23_ch"/>
    <w:pPr>
      <w:widowControl w:val="0"/>
      <w:ind/>
    </w:pPr>
    <w:rPr>
      <w:rFonts w:ascii="Arial" w:hAnsi="Arial"/>
      <w:sz w:val="20"/>
    </w:rPr>
  </w:style>
  <w:style w:styleId="Style_23_ch" w:type="character">
    <w:name w:val="ConsPlusTextList"/>
    <w:link w:val="Style_23"/>
    <w:rPr>
      <w:rFonts w:ascii="Arial" w:hAnsi="Arial"/>
      <w:sz w:val="20"/>
    </w:rPr>
  </w:style>
  <w:style w:styleId="Style_24" w:type="paragraph">
    <w:name w:val="ConsPlusCell"/>
    <w:link w:val="Style_24_ch"/>
    <w:pPr>
      <w:widowControl w:val="0"/>
      <w:ind/>
    </w:pPr>
    <w:rPr>
      <w:rFonts w:ascii="Courier New" w:hAnsi="Courier New"/>
      <w:sz w:val="20"/>
    </w:rPr>
  </w:style>
  <w:style w:styleId="Style_24_ch" w:type="character">
    <w:name w:val="ConsPlusCell"/>
    <w:link w:val="Style_24"/>
    <w:rPr>
      <w:rFonts w:ascii="Courier New" w:hAnsi="Courier New"/>
      <w:sz w:val="20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5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toc 5"/>
    <w:next w:val="Style_5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  <w:sz w:val="20"/>
    </w:rPr>
  </w:style>
  <w:style w:styleId="Style_32_ch" w:type="character">
    <w:name w:val="ConsPlusNonformat"/>
    <w:link w:val="Style_32"/>
    <w:rPr>
      <w:rFonts w:ascii="Courier New" w:hAnsi="Courier New"/>
      <w:sz w:val="20"/>
    </w:rPr>
  </w:style>
  <w:style w:styleId="Style_33" w:type="paragraph">
    <w:name w:val="Subtitle"/>
    <w:next w:val="Style_5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5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5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ConsPlusJurTerm"/>
    <w:link w:val="Style_38_ch"/>
    <w:pPr>
      <w:widowControl w:val="0"/>
      <w:ind/>
    </w:pPr>
    <w:rPr>
      <w:rFonts w:ascii="Tahoma" w:hAnsi="Tahoma"/>
      <w:sz w:val="26"/>
    </w:rPr>
  </w:style>
  <w:style w:styleId="Style_38_ch" w:type="character">
    <w:name w:val="ConsPlusJurTerm"/>
    <w:link w:val="Style_38"/>
    <w:rPr>
      <w:rFonts w:ascii="Tahoma" w:hAnsi="Tahoma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2022-09-06T11:46:26Z</dcterms:modified>
</cp:coreProperties>
</file>